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F8" w:rsidRPr="00377102" w:rsidRDefault="00916FF8">
      <w:pPr>
        <w:jc w:val="right"/>
        <w:rPr>
          <w:rFonts w:cs="Miriam"/>
          <w:b/>
          <w:bCs/>
          <w:sz w:val="16"/>
          <w:szCs w:val="16"/>
          <w:u w:val="single"/>
        </w:rPr>
      </w:pPr>
    </w:p>
    <w:p w:rsidR="00916FF8" w:rsidRPr="00377102" w:rsidRDefault="00916FF8">
      <w:pPr>
        <w:jc w:val="right"/>
        <w:rPr>
          <w:rFonts w:cs="Miriam"/>
          <w:b/>
          <w:bCs/>
          <w:sz w:val="16"/>
          <w:szCs w:val="16"/>
          <w:u w:val="single"/>
        </w:rPr>
      </w:pPr>
    </w:p>
    <w:tbl>
      <w:tblPr>
        <w:bidiVisual/>
        <w:tblW w:w="8363" w:type="dxa"/>
        <w:tblInd w:w="9" w:type="dxa"/>
        <w:tblLook w:val="0000" w:firstRow="0" w:lastRow="0" w:firstColumn="0" w:lastColumn="0" w:noHBand="0" w:noVBand="0"/>
      </w:tblPr>
      <w:tblGrid>
        <w:gridCol w:w="8363"/>
      </w:tblGrid>
      <w:tr w:rsidR="00036227" w:rsidTr="0039709B">
        <w:tc>
          <w:tcPr>
            <w:tcW w:w="7848" w:type="dxa"/>
          </w:tcPr>
          <w:p w:rsidR="00916FF8" w:rsidRPr="00624A42" w:rsidRDefault="00E96470" w:rsidP="004C7868">
            <w:pPr>
              <w:pStyle w:val="FileNumber0"/>
              <w:rPr>
                <w:sz w:val="28"/>
                <w:u w:val="single"/>
                <w:rtl/>
              </w:rPr>
            </w:pPr>
            <w:r>
              <w:rPr>
                <w:u w:val="single"/>
                <w:rtl/>
              </w:rPr>
              <w:t>בבית המשפט העליון בשבתו כבית משפט גבוה לצדק</w:t>
            </w:r>
          </w:p>
        </w:tc>
      </w:tr>
    </w:tbl>
    <w:p w:rsidR="00916FF8" w:rsidRDefault="00916FF8">
      <w:pPr>
        <w:jc w:val="right"/>
        <w:rPr>
          <w:rFonts w:cs="Miriam"/>
          <w:b/>
          <w:bCs/>
          <w:u w:val="single"/>
        </w:rPr>
      </w:pPr>
    </w:p>
    <w:tbl>
      <w:tblPr>
        <w:bidiVisual/>
        <w:tblW w:w="8363" w:type="dxa"/>
        <w:tblLook w:val="0000" w:firstRow="0" w:lastRow="0" w:firstColumn="0" w:lastColumn="0" w:noHBand="0" w:noVBand="0"/>
      </w:tblPr>
      <w:tblGrid>
        <w:gridCol w:w="8363"/>
      </w:tblGrid>
      <w:tr w:rsidR="00036227" w:rsidTr="0039709B">
        <w:trPr>
          <w:trHeight w:val="342"/>
        </w:trPr>
        <w:tc>
          <w:tcPr>
            <w:tcW w:w="9828" w:type="dxa"/>
          </w:tcPr>
          <w:p w:rsidR="00916FF8" w:rsidRPr="00810894" w:rsidRDefault="00E96470">
            <w:pPr>
              <w:pStyle w:val="FileNumber"/>
              <w:rPr>
                <w:sz w:val="28"/>
                <w:szCs w:val="28"/>
              </w:rPr>
            </w:pPr>
            <w:bookmarkStart w:id="0" w:name="casename_body"/>
            <w:r>
              <w:rPr>
                <w:sz w:val="28"/>
                <w:szCs w:val="28"/>
                <w:rtl/>
              </w:rPr>
              <w:t>בג"ץ  5474/23</w:t>
            </w:r>
          </w:p>
        </w:tc>
      </w:tr>
      <w:bookmarkEnd w:id="0"/>
    </w:tbl>
    <w:p w:rsidR="00916FF8" w:rsidRDefault="00916FF8">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036227" w:rsidTr="00EC23AC">
        <w:trPr>
          <w:trHeight w:val="287"/>
        </w:trPr>
        <w:tc>
          <w:tcPr>
            <w:tcW w:w="3261" w:type="dxa"/>
          </w:tcPr>
          <w:p w:rsidR="00036227" w:rsidRDefault="00CB7600">
            <w:pPr>
              <w:pStyle w:val="BodyRuller"/>
              <w:rPr>
                <w:rFonts w:cs="Miriam"/>
                <w:b/>
                <w:bCs/>
                <w:u w:val="single"/>
              </w:rPr>
            </w:pPr>
            <w:r>
              <w:rPr>
                <w:rFonts w:hint="cs"/>
                <w:rtl/>
              </w:rPr>
              <w:t>ל</w:t>
            </w:r>
            <w:r w:rsidR="00036227">
              <w:rPr>
                <w:rtl/>
              </w:rPr>
              <w:t>פני:</w:t>
            </w:r>
            <w:r w:rsidR="00036227">
              <w:rPr>
                <w:rtl/>
              </w:rPr>
              <w:tab/>
            </w:r>
          </w:p>
        </w:tc>
        <w:tc>
          <w:tcPr>
            <w:tcW w:w="5239" w:type="dxa"/>
          </w:tcPr>
          <w:p w:rsidR="00036227" w:rsidRDefault="00E96470">
            <w:pPr>
              <w:pStyle w:val="BodyRuller"/>
            </w:pPr>
            <w:r>
              <w:rPr>
                <w:rtl/>
              </w:rPr>
              <w:t>כבוד השופט י' עמית</w:t>
            </w:r>
          </w:p>
        </w:tc>
      </w:tr>
      <w:tr w:rsidR="00E96470" w:rsidTr="00EC23AC">
        <w:trPr>
          <w:trHeight w:val="287"/>
        </w:trPr>
        <w:tc>
          <w:tcPr>
            <w:tcW w:w="3261" w:type="dxa"/>
          </w:tcPr>
          <w:p w:rsidR="00E96470" w:rsidRDefault="00E96470">
            <w:pPr>
              <w:pStyle w:val="BodyRuller"/>
              <w:rPr>
                <w:rtl/>
              </w:rPr>
            </w:pPr>
          </w:p>
        </w:tc>
        <w:tc>
          <w:tcPr>
            <w:tcW w:w="5239" w:type="dxa"/>
          </w:tcPr>
          <w:p w:rsidR="00E96470" w:rsidRDefault="00E96470">
            <w:pPr>
              <w:pStyle w:val="BodyRuller"/>
              <w:rPr>
                <w:rtl/>
              </w:rPr>
            </w:pPr>
            <w:r>
              <w:rPr>
                <w:rtl/>
              </w:rPr>
              <w:t>כבוד השופט ד' מינץ</w:t>
            </w:r>
          </w:p>
        </w:tc>
      </w:tr>
      <w:tr w:rsidR="00E96470" w:rsidTr="00EC23AC">
        <w:trPr>
          <w:trHeight w:val="287"/>
        </w:trPr>
        <w:tc>
          <w:tcPr>
            <w:tcW w:w="3261" w:type="dxa"/>
          </w:tcPr>
          <w:p w:rsidR="00E96470" w:rsidRDefault="00E96470">
            <w:pPr>
              <w:pStyle w:val="BodyRuller"/>
              <w:rPr>
                <w:rtl/>
              </w:rPr>
            </w:pPr>
          </w:p>
        </w:tc>
        <w:tc>
          <w:tcPr>
            <w:tcW w:w="5239" w:type="dxa"/>
          </w:tcPr>
          <w:p w:rsidR="00E96470" w:rsidRDefault="00E96470">
            <w:pPr>
              <w:pStyle w:val="BodyRuller"/>
              <w:rPr>
                <w:rtl/>
              </w:rPr>
            </w:pPr>
            <w:r>
              <w:rPr>
                <w:rtl/>
              </w:rPr>
              <w:t>כבוד השופט ח' כבוב</w:t>
            </w:r>
          </w:p>
        </w:tc>
      </w:tr>
    </w:tbl>
    <w:p w:rsidR="00916FF8" w:rsidRDefault="00916FF8">
      <w:pPr>
        <w:pStyle w:val="Ruller3"/>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D00CB7" w:rsidTr="00DD6306">
        <w:trPr>
          <w:trHeight w:val="287"/>
        </w:trPr>
        <w:tc>
          <w:tcPr>
            <w:tcW w:w="3261" w:type="dxa"/>
          </w:tcPr>
          <w:p w:rsidR="00D00CB7" w:rsidRPr="00E75223" w:rsidRDefault="00E96470" w:rsidP="00DD6306">
            <w:pPr>
              <w:pStyle w:val="BodyRuller"/>
              <w:rPr>
                <w:rFonts w:ascii="David" w:hAnsi="David"/>
              </w:rPr>
            </w:pPr>
            <w:r>
              <w:rPr>
                <w:rFonts w:ascii="David" w:hAnsi="David"/>
                <w:rtl/>
              </w:rPr>
              <w:t>העותרים:</w:t>
            </w:r>
          </w:p>
        </w:tc>
        <w:tc>
          <w:tcPr>
            <w:tcW w:w="5239" w:type="dxa"/>
          </w:tcPr>
          <w:p w:rsidR="00D00CB7" w:rsidRDefault="00E96470" w:rsidP="00DD6306">
            <w:pPr>
              <w:pStyle w:val="BodyRuller"/>
            </w:pPr>
            <w:r>
              <w:rPr>
                <w:rtl/>
              </w:rPr>
              <w:t>1. חברת דואר ישראל בע"מ</w:t>
            </w:r>
          </w:p>
        </w:tc>
      </w:tr>
      <w:tr w:rsidR="00E96470" w:rsidTr="00DD6306">
        <w:trPr>
          <w:trHeight w:val="287"/>
        </w:trPr>
        <w:tc>
          <w:tcPr>
            <w:tcW w:w="3261" w:type="dxa"/>
          </w:tcPr>
          <w:p w:rsidR="00E96470" w:rsidRDefault="00E96470" w:rsidP="00DD6306">
            <w:pPr>
              <w:pStyle w:val="BodyRuller"/>
              <w:rPr>
                <w:rFonts w:ascii="David" w:hAnsi="David"/>
                <w:rtl/>
              </w:rPr>
            </w:pPr>
          </w:p>
        </w:tc>
        <w:tc>
          <w:tcPr>
            <w:tcW w:w="5239" w:type="dxa"/>
          </w:tcPr>
          <w:p w:rsidR="00E96470" w:rsidRDefault="00E96470" w:rsidP="00DD6306">
            <w:pPr>
              <w:pStyle w:val="BodyRuller"/>
              <w:rPr>
                <w:rtl/>
              </w:rPr>
            </w:pPr>
            <w:r>
              <w:rPr>
                <w:rtl/>
              </w:rPr>
              <w:t xml:space="preserve">2. </w:t>
            </w:r>
            <w:proofErr w:type="spellStart"/>
            <w:r>
              <w:rPr>
                <w:rtl/>
              </w:rPr>
              <w:t>מישאל</w:t>
            </w:r>
            <w:proofErr w:type="spellEnd"/>
            <w:r>
              <w:rPr>
                <w:rtl/>
              </w:rPr>
              <w:t xml:space="preserve"> וקנין</w:t>
            </w:r>
          </w:p>
        </w:tc>
      </w:tr>
    </w:tbl>
    <w:p w:rsidR="00D00CB7" w:rsidRDefault="00D00CB7">
      <w:pPr>
        <w:pStyle w:val="Ruller3"/>
      </w:pPr>
    </w:p>
    <w:tbl>
      <w:tblPr>
        <w:bidiVisual/>
        <w:tblW w:w="8363" w:type="dxa"/>
        <w:tblLook w:val="0000" w:firstRow="0" w:lastRow="0" w:firstColumn="0" w:lastColumn="0" w:noHBand="0" w:noVBand="0"/>
      </w:tblPr>
      <w:tblGrid>
        <w:gridCol w:w="3222"/>
        <w:gridCol w:w="5141"/>
      </w:tblGrid>
      <w:tr w:rsidR="00036227" w:rsidTr="0039709B">
        <w:tc>
          <w:tcPr>
            <w:tcW w:w="3284" w:type="dxa"/>
          </w:tcPr>
          <w:p w:rsidR="00036227" w:rsidRDefault="00036227">
            <w:pPr>
              <w:pStyle w:val="BodyRuller"/>
            </w:pPr>
          </w:p>
        </w:tc>
        <w:tc>
          <w:tcPr>
            <w:tcW w:w="5238" w:type="dxa"/>
          </w:tcPr>
          <w:p w:rsidR="00036227" w:rsidRDefault="00036227">
            <w:pPr>
              <w:pStyle w:val="BodyRuller"/>
            </w:pPr>
            <w:r>
              <w:rPr>
                <w:rFonts w:hint="cs"/>
                <w:rtl/>
              </w:rPr>
              <w:t>נ</w:t>
            </w:r>
            <w:r>
              <w:t xml:space="preserve">  </w:t>
            </w:r>
            <w:r>
              <w:rPr>
                <w:rFonts w:hint="cs"/>
                <w:rtl/>
              </w:rPr>
              <w:t>ג</w:t>
            </w:r>
            <w:r>
              <w:t xml:space="preserve">  </w:t>
            </w:r>
            <w:r>
              <w:rPr>
                <w:rFonts w:hint="cs"/>
                <w:rtl/>
              </w:rPr>
              <w:t>ד</w:t>
            </w:r>
          </w:p>
        </w:tc>
      </w:tr>
    </w:tbl>
    <w:p w:rsidR="00916FF8" w:rsidRDefault="00916FF8">
      <w:pPr>
        <w:pStyle w:val="Ruller3"/>
        <w:rPr>
          <w:rtl/>
        </w:rPr>
      </w:pPr>
    </w:p>
    <w:tbl>
      <w:tblPr>
        <w:bidiVisual/>
        <w:tblW w:w="8364" w:type="dxa"/>
        <w:tblLayout w:type="fixed"/>
        <w:tblLook w:val="0000" w:firstRow="0" w:lastRow="0" w:firstColumn="0" w:lastColumn="0" w:noHBand="0" w:noVBand="0"/>
      </w:tblPr>
      <w:tblGrid>
        <w:gridCol w:w="3210"/>
        <w:gridCol w:w="5154"/>
      </w:tblGrid>
      <w:tr w:rsidR="0083345F" w:rsidTr="00DD6306">
        <w:trPr>
          <w:trHeight w:val="287"/>
        </w:trPr>
        <w:tc>
          <w:tcPr>
            <w:tcW w:w="3261" w:type="dxa"/>
          </w:tcPr>
          <w:p w:rsidR="0083345F" w:rsidRPr="00E75223" w:rsidRDefault="00E96470" w:rsidP="00DD6306">
            <w:pPr>
              <w:pStyle w:val="BodyRuller"/>
              <w:rPr>
                <w:rFonts w:ascii="David" w:hAnsi="David"/>
              </w:rPr>
            </w:pPr>
            <w:r>
              <w:rPr>
                <w:rFonts w:ascii="David" w:hAnsi="David"/>
                <w:rtl/>
              </w:rPr>
              <w:t>המשיבים:</w:t>
            </w:r>
          </w:p>
        </w:tc>
        <w:tc>
          <w:tcPr>
            <w:tcW w:w="5239" w:type="dxa"/>
          </w:tcPr>
          <w:p w:rsidR="0083345F" w:rsidRDefault="00E96470" w:rsidP="00DD6306">
            <w:pPr>
              <w:pStyle w:val="BodyRuller"/>
            </w:pPr>
            <w:r>
              <w:rPr>
                <w:rtl/>
              </w:rPr>
              <w:t>1. שר התקשורת</w:t>
            </w:r>
          </w:p>
        </w:tc>
      </w:tr>
      <w:tr w:rsidR="00E96470" w:rsidTr="00DD6306">
        <w:trPr>
          <w:trHeight w:val="287"/>
        </w:trPr>
        <w:tc>
          <w:tcPr>
            <w:tcW w:w="3261" w:type="dxa"/>
          </w:tcPr>
          <w:p w:rsidR="00E96470" w:rsidRDefault="00E96470" w:rsidP="00DD6306">
            <w:pPr>
              <w:pStyle w:val="BodyRuller"/>
              <w:rPr>
                <w:rFonts w:ascii="David" w:hAnsi="David"/>
                <w:rtl/>
              </w:rPr>
            </w:pPr>
          </w:p>
        </w:tc>
        <w:tc>
          <w:tcPr>
            <w:tcW w:w="5239" w:type="dxa"/>
          </w:tcPr>
          <w:p w:rsidR="00E96470" w:rsidRDefault="00E96470" w:rsidP="00282F22">
            <w:pPr>
              <w:pStyle w:val="BodyRuller"/>
              <w:rPr>
                <w:rtl/>
              </w:rPr>
            </w:pPr>
            <w:r>
              <w:rPr>
                <w:rtl/>
              </w:rPr>
              <w:t>2. השר לשיתוף פעולה אזורי</w:t>
            </w:r>
          </w:p>
        </w:tc>
      </w:tr>
      <w:tr w:rsidR="00E96470" w:rsidTr="00DD6306">
        <w:trPr>
          <w:trHeight w:val="287"/>
        </w:trPr>
        <w:tc>
          <w:tcPr>
            <w:tcW w:w="3261" w:type="dxa"/>
          </w:tcPr>
          <w:p w:rsidR="00E96470" w:rsidRDefault="00E96470" w:rsidP="00DD6306">
            <w:pPr>
              <w:pStyle w:val="BodyRuller"/>
              <w:rPr>
                <w:rFonts w:ascii="David" w:hAnsi="David"/>
                <w:rtl/>
              </w:rPr>
            </w:pPr>
          </w:p>
        </w:tc>
        <w:tc>
          <w:tcPr>
            <w:tcW w:w="5239" w:type="dxa"/>
          </w:tcPr>
          <w:p w:rsidR="00E96470" w:rsidRDefault="00E96470" w:rsidP="00DD6306">
            <w:pPr>
              <w:pStyle w:val="BodyRuller"/>
              <w:rPr>
                <w:rtl/>
              </w:rPr>
            </w:pPr>
            <w:r>
              <w:rPr>
                <w:rtl/>
              </w:rPr>
              <w:t>3. שר האוצר</w:t>
            </w:r>
          </w:p>
        </w:tc>
      </w:tr>
      <w:tr w:rsidR="00E96470" w:rsidTr="00DD6306">
        <w:trPr>
          <w:trHeight w:val="287"/>
        </w:trPr>
        <w:tc>
          <w:tcPr>
            <w:tcW w:w="3261" w:type="dxa"/>
          </w:tcPr>
          <w:p w:rsidR="00E96470" w:rsidRDefault="00E96470" w:rsidP="00DD6306">
            <w:pPr>
              <w:pStyle w:val="BodyRuller"/>
              <w:rPr>
                <w:rFonts w:ascii="David" w:hAnsi="David"/>
                <w:rtl/>
              </w:rPr>
            </w:pPr>
          </w:p>
        </w:tc>
        <w:tc>
          <w:tcPr>
            <w:tcW w:w="5239" w:type="dxa"/>
          </w:tcPr>
          <w:p w:rsidR="00E96470" w:rsidRDefault="00E96470" w:rsidP="00DD6306">
            <w:pPr>
              <w:pStyle w:val="BodyRuller"/>
              <w:rPr>
                <w:rtl/>
              </w:rPr>
            </w:pPr>
            <w:r>
              <w:rPr>
                <w:rtl/>
              </w:rPr>
              <w:t>4. רשות החברות הממשלתיות</w:t>
            </w:r>
          </w:p>
        </w:tc>
      </w:tr>
      <w:tr w:rsidR="00E96470" w:rsidTr="00DD6306">
        <w:trPr>
          <w:trHeight w:val="287"/>
        </w:trPr>
        <w:tc>
          <w:tcPr>
            <w:tcW w:w="3261" w:type="dxa"/>
          </w:tcPr>
          <w:p w:rsidR="00E96470" w:rsidRDefault="00E96470" w:rsidP="00DD6306">
            <w:pPr>
              <w:pStyle w:val="BodyRuller"/>
              <w:rPr>
                <w:rFonts w:ascii="David" w:hAnsi="David"/>
                <w:rtl/>
              </w:rPr>
            </w:pPr>
          </w:p>
        </w:tc>
        <w:tc>
          <w:tcPr>
            <w:tcW w:w="5239" w:type="dxa"/>
          </w:tcPr>
          <w:p w:rsidR="00E96470" w:rsidRDefault="00E96470" w:rsidP="00DD6306">
            <w:pPr>
              <w:pStyle w:val="BodyRuller"/>
              <w:rPr>
                <w:rtl/>
              </w:rPr>
            </w:pPr>
            <w:r>
              <w:rPr>
                <w:rtl/>
              </w:rPr>
              <w:t>5. היועצת המשפטית לממשלה</w:t>
            </w:r>
          </w:p>
        </w:tc>
      </w:tr>
    </w:tbl>
    <w:p w:rsidR="0083345F" w:rsidRDefault="0083345F">
      <w:pPr>
        <w:pStyle w:val="Ruller3"/>
      </w:pPr>
    </w:p>
    <w:tbl>
      <w:tblPr>
        <w:bidiVisual/>
        <w:tblW w:w="0" w:type="auto"/>
        <w:tblInd w:w="3209" w:type="dxa"/>
        <w:tblLook w:val="0000" w:firstRow="0" w:lastRow="0" w:firstColumn="0" w:lastColumn="0" w:noHBand="0" w:noVBand="0"/>
      </w:tblPr>
      <w:tblGrid>
        <w:gridCol w:w="5103"/>
      </w:tblGrid>
      <w:tr w:rsidR="00036227" w:rsidTr="00CA1444">
        <w:tc>
          <w:tcPr>
            <w:tcW w:w="5103" w:type="dxa"/>
          </w:tcPr>
          <w:p w:rsidR="00916FF8" w:rsidRPr="00265F6E" w:rsidRDefault="00282F22" w:rsidP="00282F22">
            <w:pPr>
              <w:pStyle w:val="BodyRuller"/>
              <w:rPr>
                <w:sz w:val="24"/>
                <w:szCs w:val="24"/>
              </w:rPr>
            </w:pPr>
            <w:r w:rsidRPr="00282F22">
              <w:rPr>
                <w:sz w:val="24"/>
                <w:szCs w:val="24"/>
                <w:rtl/>
              </w:rPr>
              <w:t>התנגדות לצו על תנאי</w:t>
            </w:r>
          </w:p>
        </w:tc>
      </w:tr>
    </w:tbl>
    <w:p w:rsidR="00916FF8" w:rsidRDefault="00916FF8">
      <w:pPr>
        <w:pStyle w:val="Ruller3"/>
        <w:rPr>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5133"/>
      </w:tblGrid>
      <w:tr w:rsidR="00282F22" w:rsidTr="00282F22">
        <w:tc>
          <w:tcPr>
            <w:tcW w:w="3230" w:type="dxa"/>
            <w:tcBorders>
              <w:top w:val="nil"/>
              <w:left w:val="nil"/>
              <w:bottom w:val="nil"/>
              <w:right w:val="nil"/>
            </w:tcBorders>
          </w:tcPr>
          <w:p w:rsidR="00282F22" w:rsidRPr="00265F6E" w:rsidRDefault="00282F22" w:rsidP="00282F22">
            <w:pPr>
              <w:pStyle w:val="BodyRuller"/>
              <w:rPr>
                <w:sz w:val="24"/>
                <w:szCs w:val="24"/>
              </w:rPr>
            </w:pPr>
            <w:r w:rsidRPr="00265F6E">
              <w:rPr>
                <w:sz w:val="24"/>
                <w:szCs w:val="24"/>
                <w:rtl/>
              </w:rPr>
              <w:t>תאריך הישיבה:</w:t>
            </w:r>
          </w:p>
        </w:tc>
        <w:tc>
          <w:tcPr>
            <w:tcW w:w="5133" w:type="dxa"/>
            <w:tcBorders>
              <w:top w:val="nil"/>
              <w:left w:val="nil"/>
              <w:bottom w:val="nil"/>
              <w:right w:val="nil"/>
            </w:tcBorders>
          </w:tcPr>
          <w:p w:rsidR="00282F22" w:rsidRPr="00282F22" w:rsidRDefault="00282F22" w:rsidP="00326C0D">
            <w:pPr>
              <w:pStyle w:val="BodyRuller"/>
              <w:rPr>
                <w:sz w:val="24"/>
                <w:szCs w:val="24"/>
              </w:rPr>
            </w:pPr>
            <w:r w:rsidRPr="00282F22">
              <w:rPr>
                <w:sz w:val="24"/>
                <w:szCs w:val="24"/>
                <w:rtl/>
              </w:rPr>
              <w:t xml:space="preserve">כ"ג בטבת </w:t>
            </w:r>
            <w:proofErr w:type="spellStart"/>
            <w:r w:rsidRPr="00282F22">
              <w:rPr>
                <w:sz w:val="24"/>
                <w:szCs w:val="24"/>
                <w:rtl/>
              </w:rPr>
              <w:t>התשפ"ד</w:t>
            </w:r>
            <w:proofErr w:type="spellEnd"/>
            <w:r w:rsidRPr="00282F22">
              <w:rPr>
                <w:sz w:val="24"/>
                <w:szCs w:val="24"/>
                <w:rtl/>
              </w:rPr>
              <w:t xml:space="preserve"> (</w:t>
            </w:r>
            <w:r w:rsidR="00326C0D">
              <w:rPr>
                <w:rFonts w:hint="cs"/>
                <w:sz w:val="24"/>
                <w:szCs w:val="24"/>
                <w:rtl/>
              </w:rPr>
              <w:t>4</w:t>
            </w:r>
            <w:r w:rsidRPr="00282F22">
              <w:rPr>
                <w:sz w:val="24"/>
                <w:szCs w:val="24"/>
                <w:rtl/>
              </w:rPr>
              <w:t>.</w:t>
            </w:r>
            <w:r w:rsidR="00326C0D">
              <w:rPr>
                <w:rFonts w:hint="cs"/>
                <w:sz w:val="24"/>
                <w:szCs w:val="24"/>
                <w:rtl/>
              </w:rPr>
              <w:t>1</w:t>
            </w:r>
            <w:r w:rsidRPr="00282F22">
              <w:rPr>
                <w:sz w:val="24"/>
                <w:szCs w:val="24"/>
                <w:rtl/>
              </w:rPr>
              <w:t>.</w:t>
            </w:r>
            <w:r w:rsidR="00326C0D">
              <w:rPr>
                <w:rFonts w:hint="cs"/>
                <w:sz w:val="24"/>
                <w:szCs w:val="24"/>
                <w:rtl/>
              </w:rPr>
              <w:t>20</w:t>
            </w:r>
            <w:r w:rsidRPr="00282F22">
              <w:rPr>
                <w:sz w:val="24"/>
                <w:szCs w:val="24"/>
                <w:rtl/>
              </w:rPr>
              <w:t>24)</w:t>
            </w:r>
          </w:p>
        </w:tc>
      </w:tr>
    </w:tbl>
    <w:p w:rsidR="00916FF8" w:rsidRDefault="00916FF8" w:rsidP="00282F22">
      <w:pPr>
        <w:tabs>
          <w:tab w:val="left" w:pos="2552"/>
        </w:tabs>
        <w:rPr>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5150"/>
      </w:tblGrid>
      <w:tr w:rsidR="00282F22" w:rsidTr="00282F22">
        <w:tc>
          <w:tcPr>
            <w:tcW w:w="3213" w:type="dxa"/>
            <w:tcBorders>
              <w:top w:val="nil"/>
              <w:left w:val="nil"/>
              <w:bottom w:val="nil"/>
              <w:right w:val="nil"/>
            </w:tcBorders>
          </w:tcPr>
          <w:p w:rsidR="00282F22" w:rsidRPr="00282F22" w:rsidRDefault="00282F22" w:rsidP="00282F22">
            <w:pPr>
              <w:pStyle w:val="BodyRuller"/>
              <w:rPr>
                <w:rtl/>
              </w:rPr>
            </w:pPr>
            <w:bookmarkStart w:id="1" w:name="lawyers_a_title"/>
            <w:r w:rsidRPr="00282F22">
              <w:rPr>
                <w:rtl/>
              </w:rPr>
              <w:t>בשם העותרים:</w:t>
            </w:r>
          </w:p>
        </w:tc>
        <w:tc>
          <w:tcPr>
            <w:tcW w:w="5150" w:type="dxa"/>
            <w:tcBorders>
              <w:top w:val="nil"/>
              <w:left w:val="nil"/>
              <w:bottom w:val="nil"/>
              <w:right w:val="nil"/>
            </w:tcBorders>
          </w:tcPr>
          <w:p w:rsidR="00282F22" w:rsidRDefault="00282F22" w:rsidP="00282F22">
            <w:pPr>
              <w:pStyle w:val="BodyRuller"/>
              <w:rPr>
                <w:rtl/>
              </w:rPr>
            </w:pPr>
            <w:r w:rsidRPr="00282F22">
              <w:rPr>
                <w:rtl/>
              </w:rPr>
              <w:t xml:space="preserve">עו"ד גיורא </w:t>
            </w:r>
            <w:proofErr w:type="spellStart"/>
            <w:r w:rsidRPr="00282F22">
              <w:rPr>
                <w:rtl/>
              </w:rPr>
              <w:t>ארדינסט</w:t>
            </w:r>
            <w:proofErr w:type="spellEnd"/>
            <w:r w:rsidRPr="00282F22">
              <w:rPr>
                <w:rtl/>
              </w:rPr>
              <w:t xml:space="preserve">; עו"ד עמיחי </w:t>
            </w:r>
            <w:proofErr w:type="spellStart"/>
            <w:r w:rsidRPr="00282F22">
              <w:rPr>
                <w:rtl/>
              </w:rPr>
              <w:t>וסרטיל</w:t>
            </w:r>
            <w:proofErr w:type="spellEnd"/>
            <w:r w:rsidRPr="00282F22">
              <w:rPr>
                <w:rtl/>
              </w:rPr>
              <w:t xml:space="preserve">; </w:t>
            </w:r>
          </w:p>
          <w:p w:rsidR="00282F22" w:rsidRPr="00282F22" w:rsidRDefault="00282F22" w:rsidP="00282F22">
            <w:pPr>
              <w:pStyle w:val="BodyRuller"/>
            </w:pPr>
            <w:r w:rsidRPr="00282F22">
              <w:rPr>
                <w:rtl/>
              </w:rPr>
              <w:t xml:space="preserve">עו"ד אוהד </w:t>
            </w:r>
            <w:proofErr w:type="spellStart"/>
            <w:r w:rsidRPr="00282F22">
              <w:rPr>
                <w:rtl/>
              </w:rPr>
              <w:t>מייזליק</w:t>
            </w:r>
            <w:proofErr w:type="spellEnd"/>
            <w:r w:rsidRPr="00282F22">
              <w:rPr>
                <w:rtl/>
              </w:rPr>
              <w:t>; עו"ד סער ענבר בן זאב</w:t>
            </w:r>
            <w:r w:rsidRPr="00282F22">
              <w:rPr>
                <w:rtl/>
              </w:rPr>
              <w:tab/>
            </w:r>
          </w:p>
        </w:tc>
      </w:tr>
      <w:bookmarkEnd w:id="1"/>
    </w:tbl>
    <w:p w:rsidR="00282F22" w:rsidRPr="00282F22" w:rsidRDefault="00282F22" w:rsidP="00282F22">
      <w:pPr>
        <w:tabs>
          <w:tab w:val="left" w:pos="2552"/>
        </w:tabs>
      </w:pPr>
    </w:p>
    <w:tbl>
      <w:tblPr>
        <w:bidiVisu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099"/>
      </w:tblGrid>
      <w:tr w:rsidR="00282F22" w:rsidRPr="00282F22" w:rsidTr="00282F22">
        <w:tc>
          <w:tcPr>
            <w:tcW w:w="3261" w:type="dxa"/>
            <w:tcBorders>
              <w:top w:val="nil"/>
              <w:left w:val="nil"/>
              <w:bottom w:val="nil"/>
              <w:right w:val="nil"/>
            </w:tcBorders>
            <w:hideMark/>
          </w:tcPr>
          <w:p w:rsidR="00282F22" w:rsidRPr="00282F22" w:rsidRDefault="00282F22" w:rsidP="00282F22">
            <w:pPr>
              <w:pStyle w:val="BodyRuller"/>
              <w:rPr>
                <w:rtl/>
              </w:rPr>
            </w:pPr>
            <w:bookmarkStart w:id="2" w:name="lawyers_b_title"/>
            <w:r w:rsidRPr="00282F22">
              <w:rPr>
                <w:rtl/>
              </w:rPr>
              <w:t>בשם משיב 1:</w:t>
            </w:r>
          </w:p>
        </w:tc>
        <w:tc>
          <w:tcPr>
            <w:tcW w:w="5099" w:type="dxa"/>
            <w:tcBorders>
              <w:top w:val="nil"/>
              <w:left w:val="nil"/>
              <w:bottom w:val="nil"/>
              <w:right w:val="nil"/>
            </w:tcBorders>
            <w:hideMark/>
          </w:tcPr>
          <w:p w:rsidR="00282F22" w:rsidRPr="00282F22" w:rsidRDefault="00282F22" w:rsidP="00282F22">
            <w:pPr>
              <w:pStyle w:val="BodyRuller"/>
            </w:pPr>
            <w:r w:rsidRPr="00282F22">
              <w:rPr>
                <w:rtl/>
              </w:rPr>
              <w:t xml:space="preserve">עו"ד הלל ברק; עו"ד מאור </w:t>
            </w:r>
            <w:proofErr w:type="spellStart"/>
            <w:r w:rsidRPr="00282F22">
              <w:rPr>
                <w:rtl/>
              </w:rPr>
              <w:t>קייקוב</w:t>
            </w:r>
            <w:proofErr w:type="spellEnd"/>
            <w:r w:rsidRPr="00282F22">
              <w:rPr>
                <w:rtl/>
              </w:rPr>
              <w:t xml:space="preserve"> </w:t>
            </w:r>
          </w:p>
        </w:tc>
      </w:tr>
      <w:bookmarkEnd w:id="2"/>
    </w:tbl>
    <w:p w:rsidR="00282F22" w:rsidRPr="00282F22" w:rsidRDefault="00282F22" w:rsidP="00282F22">
      <w:pPr>
        <w:pStyle w:val="BodyRuller"/>
        <w:rPr>
          <w:rtl/>
        </w:rPr>
      </w:pPr>
    </w:p>
    <w:tbl>
      <w:tblPr>
        <w:bidiVisu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099"/>
      </w:tblGrid>
      <w:tr w:rsidR="00282F22" w:rsidRPr="00282F22" w:rsidTr="00282F22">
        <w:tc>
          <w:tcPr>
            <w:tcW w:w="3261" w:type="dxa"/>
            <w:tcBorders>
              <w:top w:val="nil"/>
              <w:left w:val="nil"/>
              <w:bottom w:val="nil"/>
              <w:right w:val="nil"/>
            </w:tcBorders>
            <w:hideMark/>
          </w:tcPr>
          <w:p w:rsidR="00282F22" w:rsidRPr="00282F22" w:rsidRDefault="00282F22" w:rsidP="00282F22">
            <w:pPr>
              <w:pStyle w:val="BodyRuller"/>
              <w:rPr>
                <w:rtl/>
              </w:rPr>
            </w:pPr>
            <w:r w:rsidRPr="00282F22">
              <w:rPr>
                <w:rtl/>
              </w:rPr>
              <w:t>בשם משיב 2:</w:t>
            </w:r>
          </w:p>
        </w:tc>
        <w:tc>
          <w:tcPr>
            <w:tcW w:w="5099" w:type="dxa"/>
            <w:tcBorders>
              <w:top w:val="nil"/>
              <w:left w:val="nil"/>
              <w:bottom w:val="nil"/>
              <w:right w:val="nil"/>
            </w:tcBorders>
            <w:hideMark/>
          </w:tcPr>
          <w:p w:rsidR="00282F22" w:rsidRPr="00282F22" w:rsidRDefault="00282F22" w:rsidP="00282F22">
            <w:pPr>
              <w:pStyle w:val="BodyRuller"/>
            </w:pPr>
            <w:r w:rsidRPr="00282F22">
              <w:rPr>
                <w:rtl/>
              </w:rPr>
              <w:t xml:space="preserve">עו"ד אפרים </w:t>
            </w:r>
            <w:proofErr w:type="spellStart"/>
            <w:r w:rsidRPr="00282F22">
              <w:rPr>
                <w:rtl/>
              </w:rPr>
              <w:t>דמרי</w:t>
            </w:r>
            <w:proofErr w:type="spellEnd"/>
          </w:p>
        </w:tc>
      </w:tr>
    </w:tbl>
    <w:p w:rsidR="00282F22" w:rsidRPr="00282F22" w:rsidRDefault="00282F22" w:rsidP="00282F22">
      <w:pPr>
        <w:pStyle w:val="BodyRuller"/>
        <w:rPr>
          <w:rtl/>
        </w:rPr>
      </w:pPr>
    </w:p>
    <w:tbl>
      <w:tblPr>
        <w:bidiVisu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099"/>
      </w:tblGrid>
      <w:tr w:rsidR="00282F22" w:rsidRPr="00282F22" w:rsidTr="00282F22">
        <w:tc>
          <w:tcPr>
            <w:tcW w:w="3261" w:type="dxa"/>
            <w:tcBorders>
              <w:top w:val="nil"/>
              <w:left w:val="nil"/>
              <w:bottom w:val="nil"/>
              <w:right w:val="nil"/>
            </w:tcBorders>
            <w:hideMark/>
          </w:tcPr>
          <w:p w:rsidR="00282F22" w:rsidRPr="00282F22" w:rsidRDefault="00282F22" w:rsidP="00282F22">
            <w:pPr>
              <w:pStyle w:val="BodyRuller"/>
              <w:rPr>
                <w:rtl/>
              </w:rPr>
            </w:pPr>
            <w:r w:rsidRPr="00282F22">
              <w:rPr>
                <w:rtl/>
              </w:rPr>
              <w:t>בשם משיבות 5-4:</w:t>
            </w:r>
          </w:p>
        </w:tc>
        <w:tc>
          <w:tcPr>
            <w:tcW w:w="5099" w:type="dxa"/>
            <w:tcBorders>
              <w:top w:val="nil"/>
              <w:left w:val="nil"/>
              <w:bottom w:val="nil"/>
              <w:right w:val="nil"/>
            </w:tcBorders>
          </w:tcPr>
          <w:p w:rsidR="00282F22" w:rsidRPr="00282F22" w:rsidRDefault="00282F22" w:rsidP="00282F22">
            <w:pPr>
              <w:pStyle w:val="BodyRuller"/>
              <w:rPr>
                <w:rtl/>
              </w:rPr>
            </w:pPr>
            <w:r w:rsidRPr="00282F22">
              <w:rPr>
                <w:rtl/>
              </w:rPr>
              <w:t xml:space="preserve">עו"ד </w:t>
            </w:r>
            <w:proofErr w:type="spellStart"/>
            <w:r w:rsidRPr="00282F22">
              <w:rPr>
                <w:rtl/>
              </w:rPr>
              <w:t>ערין</w:t>
            </w:r>
            <w:proofErr w:type="spellEnd"/>
            <w:r w:rsidRPr="00282F22">
              <w:rPr>
                <w:rtl/>
              </w:rPr>
              <w:t xml:space="preserve"> ספדי-</w:t>
            </w:r>
            <w:proofErr w:type="spellStart"/>
            <w:r w:rsidRPr="00282F22">
              <w:rPr>
                <w:rtl/>
              </w:rPr>
              <w:t>עטילה</w:t>
            </w:r>
            <w:proofErr w:type="spellEnd"/>
            <w:r w:rsidRPr="00282F22">
              <w:rPr>
                <w:rtl/>
              </w:rPr>
              <w:t xml:space="preserve">; עו"ד מתניה </w:t>
            </w:r>
            <w:proofErr w:type="spellStart"/>
            <w:r w:rsidRPr="00282F22">
              <w:rPr>
                <w:rtl/>
              </w:rPr>
              <w:t>רוזין</w:t>
            </w:r>
            <w:proofErr w:type="spellEnd"/>
          </w:p>
        </w:tc>
      </w:tr>
    </w:tbl>
    <w:p w:rsidR="00282F22" w:rsidRDefault="00282F22">
      <w:pPr>
        <w:tabs>
          <w:tab w:val="left" w:pos="2552"/>
        </w:tabs>
        <w:rPr>
          <w:rtl/>
        </w:rPr>
      </w:pPr>
    </w:p>
    <w:p w:rsidR="00282F22" w:rsidRDefault="00282F22">
      <w:pPr>
        <w:tabs>
          <w:tab w:val="left" w:pos="2552"/>
        </w:tabs>
      </w:pPr>
    </w:p>
    <w:tbl>
      <w:tblPr>
        <w:bidiVisual/>
        <w:tblW w:w="8363" w:type="dxa"/>
        <w:tblLook w:val="0000" w:firstRow="0" w:lastRow="0" w:firstColumn="0" w:lastColumn="0" w:noHBand="0" w:noVBand="0"/>
      </w:tblPr>
      <w:tblGrid>
        <w:gridCol w:w="8363"/>
      </w:tblGrid>
      <w:tr w:rsidR="00036227" w:rsidTr="00D00B1D">
        <w:tc>
          <w:tcPr>
            <w:tcW w:w="9837" w:type="dxa"/>
          </w:tcPr>
          <w:p w:rsidR="00916FF8" w:rsidRDefault="00E96470">
            <w:pPr>
              <w:pStyle w:val="DocumentHead"/>
            </w:pPr>
            <w:bookmarkStart w:id="3" w:name="secretary"/>
            <w:bookmarkStart w:id="4" w:name="BeginProtocol"/>
            <w:bookmarkEnd w:id="3"/>
            <w:bookmarkEnd w:id="4"/>
            <w:r>
              <w:rPr>
                <w:rtl/>
              </w:rPr>
              <w:t>פסק-דין</w:t>
            </w:r>
          </w:p>
        </w:tc>
      </w:tr>
    </w:tbl>
    <w:p w:rsidR="00282F22" w:rsidRDefault="00282F22">
      <w:pPr>
        <w:pStyle w:val="BODYVERDICT"/>
      </w:pPr>
    </w:p>
    <w:p w:rsidR="00916FF8" w:rsidRPr="00503A3E" w:rsidRDefault="00E96470">
      <w:pPr>
        <w:pStyle w:val="BODYVERDICT"/>
        <w:rPr>
          <w:rFonts w:cs="Miriam"/>
          <w:sz w:val="24"/>
          <w:szCs w:val="24"/>
          <w:u w:val="single"/>
          <w:rtl/>
        </w:rPr>
      </w:pPr>
      <w:bookmarkStart w:id="5" w:name="Writer_Name"/>
      <w:bookmarkEnd w:id="5"/>
      <w:r>
        <w:rPr>
          <w:rFonts w:cs="Miriam"/>
          <w:sz w:val="24"/>
          <w:szCs w:val="24"/>
          <w:u w:val="single"/>
          <w:rtl/>
        </w:rPr>
        <w:t>השופט ד' מינץ:</w:t>
      </w:r>
    </w:p>
    <w:p w:rsidR="000B1478" w:rsidRDefault="000B1478" w:rsidP="00A51FAE">
      <w:pPr>
        <w:pStyle w:val="Ruller41"/>
        <w:rPr>
          <w:rtl/>
        </w:rPr>
      </w:pPr>
      <w:bookmarkStart w:id="6" w:name="Start_Write"/>
      <w:bookmarkEnd w:id="6"/>
    </w:p>
    <w:p w:rsidR="00282F22" w:rsidRDefault="00282F22" w:rsidP="00282F22">
      <w:pPr>
        <w:pStyle w:val="Ruller41"/>
        <w:rPr>
          <w:rtl/>
        </w:rPr>
      </w:pPr>
      <w:r>
        <w:rPr>
          <w:rtl/>
        </w:rPr>
        <w:tab/>
      </w:r>
      <w:r>
        <w:rPr>
          <w:rFonts w:hint="cs"/>
          <w:rtl/>
        </w:rPr>
        <w:t xml:space="preserve">בעתירה שלפנינו התבקשנו </w:t>
      </w:r>
      <w:proofErr w:type="spellStart"/>
      <w:r>
        <w:rPr>
          <w:rFonts w:hint="cs"/>
          <w:rtl/>
        </w:rPr>
        <w:t>ליתן</w:t>
      </w:r>
      <w:proofErr w:type="spellEnd"/>
      <w:r>
        <w:rPr>
          <w:rFonts w:hint="cs"/>
          <w:rtl/>
        </w:rPr>
        <w:t xml:space="preserve"> צו על תנאי המורה למשיב 1 (להלן: </w:t>
      </w:r>
      <w:r w:rsidRPr="00CA11B1">
        <w:rPr>
          <w:rFonts w:ascii="Century" w:hAnsi="Century" w:cs="Miriam" w:hint="cs"/>
          <w:b/>
          <w:spacing w:val="0"/>
          <w:szCs w:val="24"/>
          <w:rtl/>
        </w:rPr>
        <w:t>שר התקשורת</w:t>
      </w:r>
      <w:r w:rsidRPr="00CA11B1">
        <w:rPr>
          <w:rFonts w:hint="cs"/>
          <w:rtl/>
        </w:rPr>
        <w:t xml:space="preserve"> </w:t>
      </w:r>
      <w:r>
        <w:rPr>
          <w:rFonts w:hint="cs"/>
          <w:rtl/>
        </w:rPr>
        <w:t xml:space="preserve">או </w:t>
      </w:r>
      <w:r w:rsidRPr="00B23A5E">
        <w:rPr>
          <w:rFonts w:ascii="Century" w:hAnsi="Century" w:cs="Miriam" w:hint="cs"/>
          <w:b/>
          <w:spacing w:val="0"/>
          <w:szCs w:val="24"/>
          <w:rtl/>
        </w:rPr>
        <w:t>השר</w:t>
      </w:r>
      <w:r w:rsidRPr="00B23A5E">
        <w:rPr>
          <w:rFonts w:ascii="Century" w:hAnsi="Century" w:hint="cs"/>
          <w:rtl/>
        </w:rPr>
        <w:t>)</w:t>
      </w:r>
      <w:r w:rsidRPr="00B23A5E">
        <w:rPr>
          <w:rFonts w:ascii="Century" w:hAnsi="Century" w:cs="Miriam" w:hint="cs"/>
          <w:b/>
          <w:spacing w:val="0"/>
          <w:szCs w:val="24"/>
          <w:rtl/>
        </w:rPr>
        <w:t xml:space="preserve"> </w:t>
      </w:r>
      <w:r>
        <w:rPr>
          <w:rFonts w:hint="cs"/>
          <w:rtl/>
        </w:rPr>
        <w:t xml:space="preserve">ולמשיב 2 (להלן: </w:t>
      </w:r>
      <w:r w:rsidRPr="00CA11B1">
        <w:rPr>
          <w:rFonts w:ascii="Century" w:hAnsi="Century" w:cs="Miriam" w:hint="cs"/>
          <w:b/>
          <w:spacing w:val="0"/>
          <w:szCs w:val="24"/>
          <w:rtl/>
        </w:rPr>
        <w:t>השר לשיתוף פעולה אזורי</w:t>
      </w:r>
      <w:r>
        <w:rPr>
          <w:rFonts w:hint="cs"/>
          <w:rtl/>
        </w:rPr>
        <w:t xml:space="preserve">) להתייצב </w:t>
      </w:r>
      <w:proofErr w:type="spellStart"/>
      <w:r>
        <w:rPr>
          <w:rFonts w:hint="cs"/>
          <w:rtl/>
        </w:rPr>
        <w:t>וליתן</w:t>
      </w:r>
      <w:proofErr w:type="spellEnd"/>
      <w:r>
        <w:rPr>
          <w:rFonts w:hint="cs"/>
          <w:rtl/>
        </w:rPr>
        <w:t xml:space="preserve"> טעם מדוע לא ייקבע כי אין תוקף להליך העברתו מכהונה של עותר 2, יו"ר דירקטוריון עותרת 1, חברת דואר ישראל בע"מ (להלן, בהתאמה: </w:t>
      </w:r>
      <w:r w:rsidRPr="007932E7">
        <w:rPr>
          <w:rFonts w:ascii="Century" w:hAnsi="Century" w:cs="Miriam" w:hint="cs"/>
          <w:b/>
          <w:spacing w:val="0"/>
          <w:szCs w:val="24"/>
          <w:rtl/>
        </w:rPr>
        <w:t>יו"</w:t>
      </w:r>
      <w:r w:rsidRPr="00B1133D">
        <w:rPr>
          <w:rFonts w:ascii="Century" w:hAnsi="Century" w:cs="Miriam" w:hint="cs"/>
          <w:b/>
          <w:spacing w:val="0"/>
          <w:szCs w:val="24"/>
          <w:rtl/>
        </w:rPr>
        <w:t>ר הדירקטוריון</w:t>
      </w:r>
      <w:r w:rsidRPr="00B1133D">
        <w:rPr>
          <w:rFonts w:hint="cs"/>
          <w:rtl/>
        </w:rPr>
        <w:t xml:space="preserve"> </w:t>
      </w:r>
      <w:r>
        <w:rPr>
          <w:rFonts w:hint="cs"/>
          <w:rtl/>
        </w:rPr>
        <w:t xml:space="preserve">או </w:t>
      </w:r>
      <w:r w:rsidRPr="00B23A5E">
        <w:rPr>
          <w:rFonts w:ascii="Century" w:hAnsi="Century" w:cs="Miriam" w:hint="cs"/>
          <w:b/>
          <w:spacing w:val="0"/>
          <w:szCs w:val="24"/>
          <w:rtl/>
        </w:rPr>
        <w:t>העותר</w:t>
      </w:r>
      <w:r>
        <w:rPr>
          <w:rFonts w:hint="cs"/>
          <w:rtl/>
        </w:rPr>
        <w:t xml:space="preserve"> ו-</w:t>
      </w:r>
      <w:r w:rsidRPr="00E451BE">
        <w:rPr>
          <w:rFonts w:ascii="Century" w:hAnsi="Century" w:cs="Miriam" w:hint="cs"/>
          <w:b/>
          <w:spacing w:val="0"/>
          <w:szCs w:val="24"/>
          <w:rtl/>
        </w:rPr>
        <w:t>דואר ישראל</w:t>
      </w:r>
      <w:r>
        <w:rPr>
          <w:rFonts w:hint="cs"/>
          <w:rtl/>
        </w:rPr>
        <w:t xml:space="preserve">, </w:t>
      </w:r>
      <w:r w:rsidRPr="00323142">
        <w:rPr>
          <w:rFonts w:ascii="Century" w:hAnsi="Century" w:cs="Miriam" w:hint="cs"/>
          <w:b/>
          <w:spacing w:val="0"/>
          <w:szCs w:val="24"/>
          <w:rtl/>
        </w:rPr>
        <w:t>הדואר</w:t>
      </w:r>
      <w:r w:rsidRPr="00323142">
        <w:rPr>
          <w:rFonts w:hint="cs"/>
          <w:rtl/>
        </w:rPr>
        <w:t xml:space="preserve"> </w:t>
      </w:r>
      <w:r>
        <w:rPr>
          <w:rFonts w:hint="cs"/>
          <w:rtl/>
        </w:rPr>
        <w:t xml:space="preserve">או </w:t>
      </w:r>
      <w:r w:rsidRPr="00EA378D">
        <w:rPr>
          <w:rFonts w:ascii="Century" w:hAnsi="Century" w:cs="Miriam" w:hint="cs"/>
          <w:b/>
          <w:spacing w:val="0"/>
          <w:szCs w:val="24"/>
          <w:rtl/>
        </w:rPr>
        <w:t>החברה</w:t>
      </w:r>
      <w:r>
        <w:rPr>
          <w:rFonts w:hint="cs"/>
          <w:rtl/>
        </w:rPr>
        <w:t xml:space="preserve">), ולחלופין מדוע לא תבוטל ההחלטה להעבירו מתפקידו. ביום </w:t>
      </w:r>
      <w:r>
        <w:rPr>
          <w:rFonts w:hint="cs"/>
          <w:rtl/>
        </w:rPr>
        <w:lastRenderedPageBreak/>
        <w:t>10.9.2023 ניתן צו על תנאי כמבוקש. באותו מועד גם ניתן צו ביניים המורה כי העותר לא יועבר מכהונתו עד להכרעה בעתירה.</w:t>
      </w:r>
    </w:p>
    <w:p w:rsidR="00282F22" w:rsidRDefault="00282F22" w:rsidP="00282F22">
      <w:pPr>
        <w:pStyle w:val="Ruller41"/>
        <w:rPr>
          <w:rtl/>
        </w:rPr>
      </w:pPr>
    </w:p>
    <w:p w:rsidR="00282F22" w:rsidRPr="00D45F44" w:rsidRDefault="00282F22" w:rsidP="00282F22">
      <w:pPr>
        <w:pStyle w:val="Ruller41"/>
        <w:rPr>
          <w:rFonts w:ascii="Century" w:hAnsi="Century" w:cs="Miriam"/>
          <w:b/>
          <w:spacing w:val="0"/>
          <w:szCs w:val="24"/>
          <w:rtl/>
        </w:rPr>
      </w:pPr>
      <w:r w:rsidRPr="00D45F44">
        <w:rPr>
          <w:rFonts w:ascii="Century" w:hAnsi="Century" w:cs="Miriam" w:hint="cs"/>
          <w:b/>
          <w:spacing w:val="0"/>
          <w:szCs w:val="24"/>
          <w:rtl/>
        </w:rPr>
        <w:t>הרקע לעתירה</w:t>
      </w:r>
      <w:r>
        <w:rPr>
          <w:rFonts w:ascii="Century" w:hAnsi="Century" w:cs="Miriam" w:hint="cs"/>
          <w:b/>
          <w:spacing w:val="0"/>
          <w:szCs w:val="24"/>
          <w:rtl/>
        </w:rPr>
        <w:t xml:space="preserve"> וטענות הצדדים</w:t>
      </w:r>
    </w:p>
    <w:p w:rsidR="00282F22" w:rsidRDefault="00282F22" w:rsidP="00282F22">
      <w:pPr>
        <w:pStyle w:val="Ruller4"/>
      </w:pPr>
      <w:r>
        <w:rPr>
          <w:rFonts w:hint="cs"/>
          <w:rtl/>
        </w:rPr>
        <w:t xml:space="preserve">במוקד העתירה עומדת </w:t>
      </w:r>
      <w:r w:rsidRPr="00B23A5E">
        <w:rPr>
          <w:rFonts w:ascii="Century" w:hAnsi="Century" w:hint="cs"/>
          <w:sz w:val="22"/>
          <w:rtl/>
        </w:rPr>
        <w:t>החלטת שר התקשורת והשר לשיתוף פעולה אזורי</w:t>
      </w:r>
      <w:r>
        <w:rPr>
          <w:rFonts w:ascii="Century" w:hAnsi="Century" w:hint="cs"/>
          <w:sz w:val="22"/>
          <w:rtl/>
        </w:rPr>
        <w:t xml:space="preserve"> </w:t>
      </w:r>
      <w:r>
        <w:rPr>
          <w:rFonts w:hint="cs"/>
          <w:rtl/>
        </w:rPr>
        <w:t xml:space="preserve">(להלן ביחד: </w:t>
      </w:r>
      <w:r w:rsidRPr="00323142">
        <w:rPr>
          <w:rFonts w:ascii="Century" w:hAnsi="Century" w:cs="Miriam" w:hint="cs"/>
          <w:b/>
          <w:spacing w:val="0"/>
          <w:szCs w:val="24"/>
          <w:rtl/>
        </w:rPr>
        <w:t>השרים</w:t>
      </w:r>
      <w:r>
        <w:rPr>
          <w:rFonts w:hint="cs"/>
          <w:rtl/>
        </w:rPr>
        <w:t xml:space="preserve">) להעביר את העותר מתפקידו כיו"ר הדירקטוריון של דואר ישראל. לצורך הבנת התמונה וטרם סקירת טענות הצדדים, אעמוד תחילה בקצרה על עיקרי סיפור הדברים בנוגע להעברתו מתפקידו. </w:t>
      </w:r>
    </w:p>
    <w:p w:rsidR="00282F22" w:rsidRPr="00B1133D" w:rsidRDefault="00282F22" w:rsidP="00282F22">
      <w:pPr>
        <w:pStyle w:val="Ruller4"/>
        <w:numPr>
          <w:ilvl w:val="0"/>
          <w:numId w:val="0"/>
        </w:numPr>
      </w:pPr>
    </w:p>
    <w:p w:rsidR="00282F22" w:rsidRDefault="00282F22" w:rsidP="008C4670">
      <w:pPr>
        <w:pStyle w:val="Ruller4"/>
      </w:pPr>
      <w:r>
        <w:rPr>
          <w:rFonts w:hint="cs"/>
          <w:rtl/>
        </w:rPr>
        <w:t xml:space="preserve">אין חולק, הגם כי השרים ביקשו להמעיט מחשיבותו של האמור להלן, כי כבר בשיחה שהתקיימה בין </w:t>
      </w:r>
      <w:r w:rsidRPr="00B23A5E">
        <w:rPr>
          <w:rFonts w:hint="cs"/>
          <w:rtl/>
        </w:rPr>
        <w:t>שר התקשורת</w:t>
      </w:r>
      <w:r>
        <w:rPr>
          <w:rFonts w:hint="cs"/>
          <w:rtl/>
        </w:rPr>
        <w:t xml:space="preserve"> לבין העותר ביום 14.3.2023 העלה השר בפני העותר את עמדתו לפיה הוא סבור שעליו לסיים את תפקידו כיו"ר הדירקטוריון. לאחר השיחה, ביום 2.6.2023 פנו השרים למשיבה </w:t>
      </w:r>
      <w:r w:rsidR="008C4670">
        <w:rPr>
          <w:rFonts w:hint="cs"/>
          <w:rtl/>
        </w:rPr>
        <w:t>4</w:t>
      </w:r>
      <w:r>
        <w:rPr>
          <w:rFonts w:hint="cs"/>
          <w:rtl/>
        </w:rPr>
        <w:t xml:space="preserve">, רשות החברות הממשלתיות (להלן גם: </w:t>
      </w:r>
      <w:r w:rsidRPr="00B3463F">
        <w:rPr>
          <w:rFonts w:ascii="Century" w:hAnsi="Century" w:cs="Miriam" w:hint="cs"/>
          <w:b/>
          <w:spacing w:val="0"/>
          <w:sz w:val="22"/>
          <w:szCs w:val="24"/>
          <w:rtl/>
        </w:rPr>
        <w:t>הרשות</w:t>
      </w:r>
      <w:r>
        <w:rPr>
          <w:rFonts w:hint="cs"/>
          <w:rtl/>
        </w:rPr>
        <w:t xml:space="preserve">) במכתב שכותרתו "קיום התייעצות עם הרשות בהתאם לסעיף 22(א)(6) לחוק החברות הממשלתיות, התשל"ה-1975", בו ביקשו לקבל את עמדתה בנוגע לסיום תפקידו של העותר כיו"ר הדירקטוריון של הדואר (להלן: </w:t>
      </w:r>
      <w:r w:rsidRPr="00B3463F">
        <w:rPr>
          <w:rFonts w:ascii="Century" w:hAnsi="Century" w:cs="Miriam" w:hint="cs"/>
          <w:b/>
          <w:spacing w:val="0"/>
          <w:szCs w:val="24"/>
          <w:rtl/>
        </w:rPr>
        <w:t>מכתב ההיוועצות</w:t>
      </w:r>
      <w:r>
        <w:rPr>
          <w:rFonts w:hint="cs"/>
          <w:rtl/>
        </w:rPr>
        <w:t xml:space="preserve">). למכתב זה צורפה טיוטת מכתב משר התקשורת לעותר שכותרתו "שימוע </w:t>
      </w:r>
      <w:r>
        <w:rPr>
          <w:rtl/>
        </w:rPr>
        <w:t>–</w:t>
      </w:r>
      <w:r>
        <w:rPr>
          <w:rFonts w:hint="cs"/>
          <w:rtl/>
        </w:rPr>
        <w:t xml:space="preserve"> העברתך מכהונה כיושב ראש דירקטוריון חברת דואר ישראל בע"מ" (להלן: </w:t>
      </w:r>
      <w:r w:rsidRPr="00B3463F">
        <w:rPr>
          <w:rFonts w:ascii="Century" w:hAnsi="Century" w:cs="Miriam" w:hint="cs"/>
          <w:b/>
          <w:spacing w:val="0"/>
          <w:szCs w:val="24"/>
          <w:rtl/>
        </w:rPr>
        <w:t>טיוטת מכתב השימוע</w:t>
      </w:r>
      <w:r>
        <w:rPr>
          <w:rFonts w:hint="cs"/>
          <w:rtl/>
        </w:rPr>
        <w:t xml:space="preserve">). ביום 12.6.2023 נשלח לשרים מכתב מטעם הרשות ובו פירטה מדוע אין מקום להורות על העברת העותר מתפקידו (להלן: </w:t>
      </w:r>
      <w:r w:rsidRPr="00B3463F">
        <w:rPr>
          <w:rFonts w:ascii="Century" w:hAnsi="Century" w:cs="Miriam" w:hint="cs"/>
          <w:b/>
          <w:spacing w:val="0"/>
          <w:sz w:val="22"/>
          <w:szCs w:val="24"/>
          <w:rtl/>
        </w:rPr>
        <w:t>מענה הרשות</w:t>
      </w:r>
      <w:r>
        <w:rPr>
          <w:rFonts w:hint="cs"/>
          <w:rtl/>
        </w:rPr>
        <w:t xml:space="preserve">). בחלוף פחות משבוע ימים מיום שהתקבלה עמדת הרשות, פנו השרים לעותר ביום 18.6.2023 וציינו כי הם שוקלים להעבירו מתפקידו נוכח הנסיבות המפורטות במכתב שצורף לפניה (להלן: </w:t>
      </w:r>
      <w:r w:rsidRPr="00E1766A">
        <w:rPr>
          <w:rFonts w:ascii="Century" w:hAnsi="Century" w:cs="Miriam" w:hint="cs"/>
          <w:b/>
          <w:spacing w:val="0"/>
          <w:sz w:val="22"/>
          <w:szCs w:val="24"/>
          <w:rtl/>
        </w:rPr>
        <w:t>פניית השימוע</w:t>
      </w:r>
      <w:r>
        <w:rPr>
          <w:rFonts w:hint="cs"/>
          <w:rtl/>
        </w:rPr>
        <w:t xml:space="preserve">). המכתב היה חתום על ידי שר התקשורת ונשא כותרת "אי מילוי תפקידך כיושב ראש דירקטוריון בחברת דואר ישראל בע"מ כראוי" (להלן: </w:t>
      </w:r>
      <w:r w:rsidRPr="00B3463F">
        <w:rPr>
          <w:rFonts w:ascii="Century" w:hAnsi="Century" w:cs="Miriam" w:hint="cs"/>
          <w:b/>
          <w:spacing w:val="0"/>
          <w:sz w:val="22"/>
          <w:szCs w:val="24"/>
          <w:rtl/>
        </w:rPr>
        <w:t>מכתב השימוע</w:t>
      </w:r>
      <w:r>
        <w:rPr>
          <w:rFonts w:hint="cs"/>
          <w:rtl/>
        </w:rPr>
        <w:t>). תוכנו של מכתב השימוע היה דומה וכמעט זהה לטיוטת מכתב השימוע שצורפה למכתב ההיוועצות. ביום 2.7.2023 הועברה ל</w:t>
      </w:r>
      <w:r w:rsidR="000251FE">
        <w:rPr>
          <w:rFonts w:hint="cs"/>
          <w:rtl/>
        </w:rPr>
        <w:t>שרים תגובת העותר. ביום 17.7.2023</w:t>
      </w:r>
      <w:r>
        <w:rPr>
          <w:rFonts w:hint="cs"/>
          <w:rtl/>
        </w:rPr>
        <w:t xml:space="preserve"> נשלח מענה מטעם השרים לעותר ובו נכתב כי לאחר התייעצות עם הרשות ולאחר בחינת המענה מטעמו, הוחלט על העברתו מכהונתו. בתמצית שבתמצית, בנימוקים שצורפו להחלטה נאמר כי העותר לא פעל להתוויית מדיניות ברורה בנושאים קריטיים לפעילות החברה באופן שהיה בו כדי לסייע לחברה להחזיר את אמון הציבור בה, להגדיל את הכנסותיה ולקדם את הבראתה ואת הליך ההפרטה שהחלה. בכלל זה, צוין כי העותר לא פעל להתוויית מדיניות ברורה בנושא שיפור השירות לציבור; בנושא הפיתוח העסקי של החברה ובפרט בשוק הסחר המקוון הבינלאומי והפנים ארצי; ובנושא בחינת השפעת סגירת יחידות הדואר. את ההחלטה על העברת העותר מכהונתו ביססו השרים על הוראת </w:t>
      </w:r>
      <w:r>
        <w:rPr>
          <w:rFonts w:hint="cs"/>
          <w:rtl/>
        </w:rPr>
        <w:lastRenderedPageBreak/>
        <w:t xml:space="preserve">סעיף 22(א)(6) לחוק החברות הממשלתיות, התשל"ה-1975 (להלן: </w:t>
      </w:r>
      <w:r w:rsidRPr="00ED148F">
        <w:rPr>
          <w:rFonts w:ascii="Century" w:hAnsi="Century" w:cs="Miriam" w:hint="cs"/>
          <w:b/>
          <w:spacing w:val="0"/>
          <w:sz w:val="22"/>
          <w:szCs w:val="24"/>
          <w:rtl/>
        </w:rPr>
        <w:t>חוק החברות הממשלתיות</w:t>
      </w:r>
      <w:r w:rsidRPr="00857841">
        <w:rPr>
          <w:rFonts w:hint="cs"/>
          <w:rtl/>
        </w:rPr>
        <w:t xml:space="preserve"> </w:t>
      </w:r>
      <w:r>
        <w:rPr>
          <w:rFonts w:hint="cs"/>
          <w:rtl/>
        </w:rPr>
        <w:t xml:space="preserve">או </w:t>
      </w:r>
      <w:r w:rsidRPr="00ED148F">
        <w:rPr>
          <w:rFonts w:ascii="Century" w:hAnsi="Century" w:cs="Miriam" w:hint="cs"/>
          <w:b/>
          <w:spacing w:val="0"/>
          <w:sz w:val="22"/>
          <w:szCs w:val="24"/>
          <w:rtl/>
        </w:rPr>
        <w:t>החוק</w:t>
      </w:r>
      <w:r>
        <w:rPr>
          <w:rFonts w:hint="cs"/>
          <w:rtl/>
        </w:rPr>
        <w:t>), הקובע כי במקרה שדירקטור אינו ממלא את תפקידו כראוי, רשאים שר התקשורת והשר לשיתוף פעולה אזורי (אשר קיבל את סמכויותיו של משיב 3, שר האוצר, לעניין זה) לסיים את כהונתו, לאחר היוועצות ברשות החברות הממשלתיות.</w:t>
      </w:r>
    </w:p>
    <w:p w:rsidR="00282F22" w:rsidRPr="00ED148F" w:rsidRDefault="00282F22" w:rsidP="00282F22">
      <w:pPr>
        <w:pStyle w:val="Ruller4"/>
        <w:numPr>
          <w:ilvl w:val="0"/>
          <w:numId w:val="0"/>
        </w:numPr>
        <w:rPr>
          <w:rtl/>
        </w:rPr>
      </w:pPr>
    </w:p>
    <w:p w:rsidR="00282F22" w:rsidRDefault="00282F22" w:rsidP="00282F22">
      <w:pPr>
        <w:pStyle w:val="Ruller4"/>
      </w:pPr>
      <w:r>
        <w:rPr>
          <w:rFonts w:hint="cs"/>
          <w:rtl/>
        </w:rPr>
        <w:t xml:space="preserve">לעמדת העותרים, ההחלטה על העברת העותר מתפקידו נעשתה ללא כל סיבה עניינית, בניגוד מוחלט לעקרונות יסוד במשפט המנהלי והיא רצופה פגמים מהותיים היורדים לשורש העניין. ראשית, סעיף 22(א)(6) לחוק כלל </w:t>
      </w:r>
      <w:r w:rsidRPr="008062CD">
        <w:rPr>
          <w:rFonts w:ascii="Century" w:hAnsi="Century" w:hint="cs"/>
          <w:sz w:val="22"/>
          <w:rtl/>
        </w:rPr>
        <w:t>אינו מאפשר להעביר יו"ר דירקטוריון</w:t>
      </w:r>
      <w:r w:rsidRPr="00CA6FFD">
        <w:rPr>
          <w:rFonts w:hint="cs"/>
          <w:rtl/>
        </w:rPr>
        <w:t xml:space="preserve"> </w:t>
      </w:r>
      <w:r>
        <w:rPr>
          <w:rFonts w:hint="cs"/>
          <w:rtl/>
        </w:rPr>
        <w:t xml:space="preserve">בחברה ממשלתית מתפקידו אלא דירקטור בלבד, ועל כן ההדחה נעשתה בחוסר סמכות. כמו כן, מינויו וכהונתו של יו"ר דירקטוריון בחברה ממשלתית הם עניין פנימי של החברה, כאשר חברה ממשלתית איננה כפופה להחלטות של גורמים פוליטיים למעט במצבים מסוימים שהוגדרו במפורש בחוק. בכל מקרה לא התקיימו במקרה זה התנאים הקבועים בסעיף 22(א)(6) לחוק לסיום כהונתו של </w:t>
      </w:r>
      <w:r w:rsidRPr="00ED148F">
        <w:rPr>
          <w:rFonts w:ascii="Century" w:hAnsi="Century" w:hint="cs"/>
          <w:sz w:val="22"/>
          <w:rtl/>
        </w:rPr>
        <w:t>דירקטור</w:t>
      </w:r>
      <w:r>
        <w:rPr>
          <w:rFonts w:hint="cs"/>
          <w:rtl/>
        </w:rPr>
        <w:t>. החלופות הקבועות בסעיף 22 לחוק אינן מקנות לשר שיקול דעת להעביר מתפקידו דירקטור שאינו נושא חן בעיניו או שאין לו אמון</w:t>
      </w:r>
      <w:r w:rsidRPr="00ED148F">
        <w:rPr>
          <w:rFonts w:hint="cs"/>
          <w:rtl/>
        </w:rPr>
        <w:t xml:space="preserve"> </w:t>
      </w:r>
      <w:r>
        <w:rPr>
          <w:rFonts w:hint="cs"/>
          <w:rtl/>
        </w:rPr>
        <w:t xml:space="preserve">בו. השרים מנסים לטעון בחוסר תום לב ולשם הסתרת השיקולים הזרים שעמדו בבסיס ההחלטה כי העותר "אינו ממלא את תפקידו כראוי", אולם חלופה זו אינה מתקיימת במקרה זה. אין כל תשתית עובדתית לביסוס הטענה שהעותר לא ממלא את תפקידו כראוי ואף ההיפך הוא הנכון. עמדתם הנחרצת של גורמי המקצוע היא כי העותר ממלא את תפקידו בהצלחה רבה, אין כל ליקוי בעבודתו ולהדחתו צפויות השלכות שליליות על התהליכים בחברה. עמדה זו הובעה על ידי דירקטוריון החברה, רשות החברות הממשלתיות, החשב הכללי, ראש אגף תקציבים, גורמים בכירים נוספים במשרד האוצר ועוד. לדעתם, פעילותו של העותר כיו"ר הדירקטוריון יחד עם גורמי הנהלה נוספים הובילו למהפך במצב הפיננסי של הדואר, כאשר ממצב של הפסדי עתק של כשני מיליארד ש"ח, הדואר עבר למצב של רווח משמעותי. </w:t>
      </w:r>
      <w:r w:rsidRPr="00ED148F">
        <w:rPr>
          <w:rFonts w:hint="cs"/>
          <w:rtl/>
        </w:rPr>
        <w:t xml:space="preserve">בתוך זמן קצר מכניסתו לתפקיד של העותר הוסרה הערת "עסק חי" שנרשמה בדוחותיה הכספיים של החברה לשנת 2021, ברבעון הראשון של שנת 2023 הרווח הנקי עמד על 23 מיליון </w:t>
      </w:r>
      <w:r>
        <w:rPr>
          <w:rFonts w:hint="cs"/>
          <w:rtl/>
        </w:rPr>
        <w:t>ש"ח</w:t>
      </w:r>
      <w:r w:rsidRPr="00ED148F">
        <w:rPr>
          <w:rFonts w:hint="cs"/>
          <w:rtl/>
        </w:rPr>
        <w:t xml:space="preserve">, ברבעון השני עמד על 151 מיליון </w:t>
      </w:r>
      <w:r>
        <w:rPr>
          <w:rFonts w:hint="cs"/>
          <w:rtl/>
        </w:rPr>
        <w:t xml:space="preserve">ש"ח </w:t>
      </w:r>
      <w:r w:rsidRPr="00ED148F">
        <w:rPr>
          <w:rFonts w:hint="cs"/>
          <w:rtl/>
        </w:rPr>
        <w:t xml:space="preserve">וברבעון השלישי נרשם רווח נקי בסך של 1.5 מיליון </w:t>
      </w:r>
      <w:r>
        <w:rPr>
          <w:rFonts w:hint="cs"/>
          <w:rtl/>
        </w:rPr>
        <w:t>ש"ח</w:t>
      </w:r>
      <w:r w:rsidRPr="00ED148F">
        <w:rPr>
          <w:rFonts w:hint="cs"/>
          <w:rtl/>
        </w:rPr>
        <w:t>.</w:t>
      </w:r>
      <w:r>
        <w:rPr>
          <w:rFonts w:hint="cs"/>
          <w:rtl/>
        </w:rPr>
        <w:t xml:space="preserve"> </w:t>
      </w:r>
    </w:p>
    <w:p w:rsidR="00282F22" w:rsidRDefault="00282F22" w:rsidP="00282F22">
      <w:pPr>
        <w:pStyle w:val="Ruller4"/>
        <w:numPr>
          <w:ilvl w:val="0"/>
          <w:numId w:val="0"/>
        </w:numPr>
      </w:pPr>
    </w:p>
    <w:p w:rsidR="00282F22" w:rsidRDefault="00282F22" w:rsidP="00282F22">
      <w:pPr>
        <w:pStyle w:val="Ruller4"/>
      </w:pPr>
      <w:r>
        <w:rPr>
          <w:rFonts w:hint="cs"/>
          <w:rtl/>
        </w:rPr>
        <w:t xml:space="preserve">מעבר לכך, להחלטה על הדחת העותר לא קדמה היוועצות עם רשות החברות הממשלתיות </w:t>
      </w:r>
      <w:r w:rsidRPr="00E52EA3">
        <w:rPr>
          <w:rFonts w:hint="eastAsia"/>
          <w:rtl/>
        </w:rPr>
        <w:t>כפי</w:t>
      </w:r>
      <w:r w:rsidRPr="00E52EA3">
        <w:rPr>
          <w:rtl/>
        </w:rPr>
        <w:t xml:space="preserve"> </w:t>
      </w:r>
      <w:r w:rsidRPr="00E52EA3">
        <w:rPr>
          <w:rFonts w:hint="eastAsia"/>
          <w:rtl/>
        </w:rPr>
        <w:t>שמורה</w:t>
      </w:r>
      <w:r w:rsidRPr="00E52EA3">
        <w:rPr>
          <w:rtl/>
        </w:rPr>
        <w:t xml:space="preserve"> </w:t>
      </w:r>
      <w:r w:rsidRPr="00E52EA3">
        <w:rPr>
          <w:rFonts w:hint="eastAsia"/>
          <w:rtl/>
        </w:rPr>
        <w:t>החוק</w:t>
      </w:r>
      <w:r>
        <w:rPr>
          <w:rFonts w:hint="cs"/>
          <w:rtl/>
        </w:rPr>
        <w:t xml:space="preserve">. פנייה לרשות החברות הממשלתיות בנושא זה נעשתה רק בחודש יוני 2023, בעוד שההחלטה על הדחת העותר התקבלה שלושה חודשים לפני כן כבר בחודש מרץ 2023. מדובר בפניה שנעשתה למראית עין בלבד, לאחר שהשר כבר </w:t>
      </w:r>
      <w:r>
        <w:rPr>
          <w:rFonts w:hint="cs"/>
          <w:rtl/>
        </w:rPr>
        <w:lastRenderedPageBreak/>
        <w:t>קיבל את ההחלטה, הודיע ליו"ר הדירקטוריון ואף הצהיר עליה בתקשורת מספר פעמים. השרים גם התעלמו מעמדתה הנחרצת, המנומקת והמפורטת של רשות החברות הממשלתיות לפיה אין כל עילה חוקית להדחת העותר וכי הדחתו עלולה להביא לכישלון הליך הפרטת הדואר ולפגיעה ממשית בקופת המדינה, ולא ייחסו לה כל משקל ולוּ למראית עין. השר לשיתוף פעולה אזורי אף הפעיל לחצים בלתי חוקיים על מנהלת רשות החברות הממשלתיות שכדי שתסטה מעמדתה המקצועית ותתמוך בהדחת העותר. ברי כי לא מדובר במילוי חובת ההיוועצות, ובוודאי שלא מדובר בהתייעצות בלב פתוח ובנפש חפצה כנדרש.</w:t>
      </w:r>
    </w:p>
    <w:p w:rsidR="00282F22" w:rsidRPr="00ED148F" w:rsidRDefault="00282F22" w:rsidP="00282F22">
      <w:pPr>
        <w:pStyle w:val="Ruller4"/>
        <w:numPr>
          <w:ilvl w:val="0"/>
          <w:numId w:val="0"/>
        </w:numPr>
      </w:pPr>
    </w:p>
    <w:p w:rsidR="00282F22" w:rsidRDefault="00282F22" w:rsidP="00282F22">
      <w:pPr>
        <w:pStyle w:val="Ruller4"/>
        <w:rPr>
          <w:rtl/>
        </w:rPr>
      </w:pPr>
      <w:r>
        <w:rPr>
          <w:rFonts w:hint="cs"/>
          <w:rtl/>
        </w:rPr>
        <w:t xml:space="preserve">העותרים הוסיפו כי הלכה למעשה, ההחלטה כלל לא התקבלה על ידי שני השרים המנויים בסעיף 22(א)(6) לחוק. כאמור, שר התקשורת הודיע ליו"ר הדירקטוריון כבר ביום 14.3.2023 כי בכוונתו להדיח אותו. לטענת העותר באותה פגישה הודיע לו שר התקשורת כי בכוונתו למנות במקומו יו"ר דירקטוריון שיהיה "איש אמונו". לאחר שיחה זו שר התקשורת הצהיר על החלטתו להדיח את העותר מתפקידו בכלי התקשורת מספר פעמים. רק לאחר מכן, כאשר </w:t>
      </w:r>
      <w:r w:rsidRPr="00857841">
        <w:rPr>
          <w:rFonts w:hint="cs"/>
          <w:rtl/>
        </w:rPr>
        <w:t>סמכויות</w:t>
      </w:r>
      <w:r>
        <w:rPr>
          <w:rFonts w:hint="cs"/>
          <w:rtl/>
        </w:rPr>
        <w:t>יו</w:t>
      </w:r>
      <w:r w:rsidRPr="00857841">
        <w:rPr>
          <w:rFonts w:hint="cs"/>
          <w:rtl/>
        </w:rPr>
        <w:t xml:space="preserve"> של שר האוצר בעניין </w:t>
      </w:r>
      <w:r>
        <w:rPr>
          <w:rFonts w:hint="cs"/>
          <w:rtl/>
        </w:rPr>
        <w:t xml:space="preserve">רשות </w:t>
      </w:r>
      <w:r w:rsidRPr="00857841">
        <w:rPr>
          <w:rFonts w:hint="cs"/>
          <w:rtl/>
        </w:rPr>
        <w:t>החברות הממשלתיות הועבר</w:t>
      </w:r>
      <w:r>
        <w:rPr>
          <w:rFonts w:hint="cs"/>
          <w:rtl/>
        </w:rPr>
        <w:t>ו</w:t>
      </w:r>
      <w:r w:rsidRPr="00857841">
        <w:rPr>
          <w:rFonts w:hint="cs"/>
          <w:rtl/>
        </w:rPr>
        <w:t xml:space="preserve"> לשר שיתוף פעולה אזורי</w:t>
      </w:r>
      <w:r>
        <w:rPr>
          <w:rFonts w:hint="cs"/>
          <w:rtl/>
        </w:rPr>
        <w:t xml:space="preserve"> ביום 19.4.2023, חַבַר </w:t>
      </w:r>
      <w:r w:rsidRPr="00857841">
        <w:rPr>
          <w:rFonts w:hint="cs"/>
          <w:rtl/>
        </w:rPr>
        <w:t xml:space="preserve">השר לשיתוף פעולה אזורי </w:t>
      </w:r>
      <w:r>
        <w:rPr>
          <w:rFonts w:hint="cs"/>
          <w:rtl/>
        </w:rPr>
        <w:t>ל</w:t>
      </w:r>
      <w:r w:rsidRPr="00857841">
        <w:rPr>
          <w:rFonts w:hint="cs"/>
          <w:rtl/>
        </w:rPr>
        <w:t>שר התקשורת כדי לקדם את הדחת העותר מתפקידו כיו"ר הדירקטוריון.</w:t>
      </w:r>
      <w:r>
        <w:rPr>
          <w:rFonts w:hint="cs"/>
          <w:rtl/>
        </w:rPr>
        <w:t xml:space="preserve"> אולם ההחלטה על הדחת העותר התקבלה על ידי שר התקשורת בגפו, עוד קודם לכן, כאשר שר האוצר (שהיה כאמור ממונה באותו מועד על החברות הממשלתיות) אף התנגד לכך. מעבר לאמור, השר לשיתוף פעולה אזורי אימץ באופן אוטומטי את עמדתו של שר התקשורת, לא בחן כלל את הנושא באופן עצמאי ולא הפעיל שיקול דעת ענייני. לראיה, השר לשיתוף פעולה אזורי כלל לא נימק את החלטתו, אף לא למראית עין, וגם על מכתב השימוע חתם שר התקשורת לבדו.</w:t>
      </w:r>
    </w:p>
    <w:p w:rsidR="00282F22" w:rsidRDefault="00282F22" w:rsidP="00282F22">
      <w:pPr>
        <w:pStyle w:val="Ruller41"/>
        <w:rPr>
          <w:rtl/>
        </w:rPr>
      </w:pPr>
    </w:p>
    <w:p w:rsidR="00282F22" w:rsidRDefault="00282F22" w:rsidP="00282F22">
      <w:pPr>
        <w:pStyle w:val="Ruller4"/>
        <w:rPr>
          <w:rtl/>
        </w:rPr>
      </w:pPr>
      <w:r>
        <w:rPr>
          <w:rFonts w:hint="cs"/>
          <w:rtl/>
        </w:rPr>
        <w:t xml:space="preserve">בנוסף על כך נטען כי הליך ההדחה פסול מיסודו בשל הפרה בוטה של חובת השימוע וזכות הטיעון שנמנעה מהעותר. ההחלטה על העברתו מתפקידו נמסרה לו באופן מפתיע בפגישה שהתקיימה בחודש מרץ 2023. מאז בחר השר לנהל את הליך ההדחה באמצעות כלי התקשורת בלבד, תוך הפרה בוטה של כללי הגינות בסיסיים. השרים שלחו לעותר מכתב הנחזה להיות מכתב שימוע אך מדובר במכתב שאינו מנומק, ושצורף לו כנספח מכתבו של שר התקשורת בלבד הכולל טענות מופרכות נגד הנהלת הדואר. מדובר בטענות עובדתיות שגויות, שנטענו מתוך מגמה ברורה להכפיש את הנהלת החברה ובהתעלם מהשיפור המשמעותי שחל במצבה בתקופת כהונתו של העותר כיו"ר הדירקטוריון, ממצבה בעבר ומאחריותו של משרד התקשורת לחלק מהבעיות שהוזכרו במכתב. כך למשל, בעוד שהשר טען שהדירקטוריון אינו פועל לשיפור השירות לציבור, </w:t>
      </w:r>
      <w:r>
        <w:rPr>
          <w:rFonts w:hint="cs"/>
          <w:rtl/>
        </w:rPr>
        <w:lastRenderedPageBreak/>
        <w:t>בפועל הדירקטוריון הגדיר את רמת השירות כיעד מרכזי של החברה בתוכנית האסטרטגית וההנהלה קידמה תהליכים ארוכי טווח כדי לשפר את רמת השירות תוך הקמת אגף שירות חדש. כך גם אחד מהישגיה המשמעותיים של צמרת החברה בתקופת כהונתו של העותר כיו"ר הדירקטוריון הוא קידום מהיר של חתימה על הסכמי הבראה אשר להם חשיבות עצומה לעתיד החברה, בעוד שהשר בחר להעלות בהקשר זה טענה מחוסרת בסיס כי ההנהלה היא זו שגרמה לעיכובים בחתימה על הסכמי ההבראה. כך גם טען השר כי הדירקטוריון לא התווה מדיניות ולא קבע אמות מידה לסגירת יחידות דואר, בעוד שאמות המידה לסגירת היחידות נקבעו במפורש ברישיון שנחתם על ידי השר עצמו בחודש פברואר 2023 בו נקבעו כללים לאספקת השירותים ופריסת יחידות הדואר.</w:t>
      </w:r>
    </w:p>
    <w:p w:rsidR="00282F22" w:rsidRPr="00D6499E" w:rsidRDefault="00282F22" w:rsidP="00282F22">
      <w:pPr>
        <w:pStyle w:val="Ruller4"/>
        <w:numPr>
          <w:ilvl w:val="0"/>
          <w:numId w:val="0"/>
        </w:numPr>
      </w:pPr>
    </w:p>
    <w:p w:rsidR="00282F22" w:rsidRDefault="00282F22" w:rsidP="00282F22">
      <w:pPr>
        <w:pStyle w:val="Ruller4"/>
        <w:rPr>
          <w:rtl/>
        </w:rPr>
      </w:pPr>
      <w:r>
        <w:rPr>
          <w:rFonts w:hint="cs"/>
          <w:rtl/>
        </w:rPr>
        <w:t xml:space="preserve">כמו כן, ההחלטה על הדחת העותר היא החלטה פוליטית מובהקת המבוססת על שיקולים זרים. כפי ששר התקשורת הודיע במפורש לעותר, הדחתו נעשתה על רקע רצונו למנות ליו"ר דירקטוריון "איש אמונו", היינו מינוי המבוסס על זהות המועמד ללא קשר לכישוריו או לאופן שבו הוא ממלא את תפקידו. אף בטיוטת מכתב השימוע הנימוק המרכזי להדחה היה כי לשר התקשורת "אין אמון" בעותר. ההחלטה התקבלה זמן קצר בלבד לאחר שנכנס השר לתפקידו, עוד לפני שהכיר את פעילות הדואר ולפני ששוחח עם העותר. גם תזמון ההחלטה על הדחת העותר, בנקודת זמן קריטית בהתפתחות החברה המצויה בהליך הפרטה, מוכיח כי מדובר בהדחה ממניעים </w:t>
      </w:r>
      <w:r w:rsidRPr="000E70B6">
        <w:rPr>
          <w:rFonts w:hint="eastAsia"/>
          <w:rtl/>
        </w:rPr>
        <w:t>פוליטיים</w:t>
      </w:r>
      <w:r>
        <w:rPr>
          <w:rFonts w:hint="cs"/>
          <w:rtl/>
        </w:rPr>
        <w:t xml:space="preserve"> גרידא.</w:t>
      </w:r>
    </w:p>
    <w:p w:rsidR="00282F22" w:rsidRDefault="00282F22" w:rsidP="00282F22">
      <w:pPr>
        <w:pStyle w:val="Ruller41"/>
        <w:rPr>
          <w:rtl/>
        </w:rPr>
      </w:pPr>
    </w:p>
    <w:p w:rsidR="00282F22" w:rsidRDefault="00282F22" w:rsidP="00282F22">
      <w:pPr>
        <w:pStyle w:val="Ruller4"/>
        <w:rPr>
          <w:rtl/>
        </w:rPr>
      </w:pPr>
      <w:r>
        <w:rPr>
          <w:rFonts w:hint="cs"/>
          <w:rtl/>
        </w:rPr>
        <w:t>ההחלטה גם לא התקבלה על בסיס תשתית עובדתית מגובשת. שר התקשורת לא אסף את הנתונים הרלוונטיים לקבלת ההחלטה, ולא קיים פגישת עבודה עם יו"ר הדירקטוריון או עם מנכ"ל החברה. השר לא התעניין בהיבטים השונים של אופן תפקוד הנהלת החברה, לא במצבה הפיננסי, לא בתכנית ההבראה ובאופן שבו הנהלת החברה מקדמת אותה ולא בחן את תהליכי ההתייעלות שקודמו מאז שהעותר נכנס לתפקידו. רק בשלב מאוחר יותר, כדי להצדיק את ההדחה בדיעבד, הציג השר באמצעי התקשורת ומבלי שפנה באופן ישיר לעותר, נתונים שאינם נכונים או בלתי רלוונטיים לעניין.</w:t>
      </w:r>
    </w:p>
    <w:p w:rsidR="00282F22" w:rsidRDefault="00282F22" w:rsidP="00282F22">
      <w:pPr>
        <w:pStyle w:val="Ruller4"/>
        <w:numPr>
          <w:ilvl w:val="0"/>
          <w:numId w:val="0"/>
        </w:numPr>
      </w:pPr>
    </w:p>
    <w:p w:rsidR="00282F22" w:rsidRDefault="00282F22" w:rsidP="00282F22">
      <w:pPr>
        <w:pStyle w:val="Ruller4"/>
        <w:rPr>
          <w:rtl/>
        </w:rPr>
      </w:pPr>
      <w:r>
        <w:rPr>
          <w:rFonts w:hint="cs"/>
          <w:rtl/>
        </w:rPr>
        <w:t xml:space="preserve">על כך הוסיפו העותרים כי מדובר במקרה מובהק של חוסר סבירות קיצוני, כאשר כלל הגורמים המקצועיים הציגו שיקולים כבדי משקל נגד הדחת העותר בעוד שלא קיים אף שיקול לכאורי התומך בהדחה. מדובר בהחלטה שרירותית הנעדרת תשתית עובדתית כלשהי. חוסר הסבירות הקיצוני אף בא לידי ביטוי בכך שההדחה נעשתה בנקודת זמן קריטית ביותר לעתיד החברה, בפתחו של הליך הפרטה כאמור, </w:t>
      </w:r>
      <w:r w:rsidRPr="00842926">
        <w:rPr>
          <w:rFonts w:hint="eastAsia"/>
          <w:rtl/>
        </w:rPr>
        <w:t>ולאחר</w:t>
      </w:r>
      <w:r>
        <w:rPr>
          <w:rFonts w:hint="cs"/>
          <w:rtl/>
        </w:rPr>
        <w:t xml:space="preserve"> שהחברה הצליחה במאמץ רב לשפר את מצבה </w:t>
      </w:r>
      <w:r w:rsidRPr="00842926">
        <w:rPr>
          <w:rFonts w:hint="eastAsia"/>
          <w:rtl/>
        </w:rPr>
        <w:t>אחרי</w:t>
      </w:r>
      <w:r>
        <w:rPr>
          <w:rFonts w:hint="cs"/>
          <w:rtl/>
        </w:rPr>
        <w:t xml:space="preserve"> תקופה ארוכה של משבר תפעולי ופיננסי. שעה שבמסגרת הליך ההפרטה החברה צפויה להימכר לגורמים פרטיים תוך חודשים ספורים, </w:t>
      </w:r>
      <w:r>
        <w:rPr>
          <w:rFonts w:hint="cs"/>
          <w:rtl/>
        </w:rPr>
        <w:lastRenderedPageBreak/>
        <w:t xml:space="preserve">אין אף שיקול ענייני שיכול היה לתמוך בהחלפת נושאי המשרה לתקופת ביניים קצרה של מספר חודשים. </w:t>
      </w:r>
    </w:p>
    <w:p w:rsidR="00282F22" w:rsidRDefault="00282F22" w:rsidP="00282F22">
      <w:pPr>
        <w:pStyle w:val="Ruller41"/>
        <w:rPr>
          <w:rtl/>
        </w:rPr>
      </w:pPr>
    </w:p>
    <w:p w:rsidR="00282F22" w:rsidRDefault="00282F22" w:rsidP="00282F22">
      <w:pPr>
        <w:pStyle w:val="Ruller4"/>
        <w:rPr>
          <w:rtl/>
        </w:rPr>
      </w:pPr>
      <w:r>
        <w:rPr>
          <w:rFonts w:hint="cs"/>
          <w:rtl/>
        </w:rPr>
        <w:t xml:space="preserve">מנגד טענו השרים כי אין כל מקום לטענה שהעברת העותר מתפקידו נעשתה שלא בסמכות, שכן מדובר בסמכות המסורה להם באופן מפורש בחוק. </w:t>
      </w:r>
      <w:r w:rsidRPr="00323142">
        <w:rPr>
          <w:rFonts w:hint="cs"/>
          <w:rtl/>
        </w:rPr>
        <w:t xml:space="preserve">שעה שאין חולק כי בסמכות השרים להעביר דירקטור "רגיל" מתפקידו אם אינו ממלא את תפקידו כראוי, פשיטא כי עם פקיעת כהונתו של יו"ר הדירקטוריון כדירקטור, פוקעת גם כהונתו כיו"ר הדירקטוריון. </w:t>
      </w:r>
      <w:r>
        <w:rPr>
          <w:rFonts w:hint="cs"/>
          <w:rtl/>
        </w:rPr>
        <w:t>גם אין מקום לצקת תוכן מחמיר ומצמצם לעילת העברה מתפקיד המתבססת על אי מילוי תפקיד כראוי, כאשר די בכך שמדובר במצב שבו התנהלות הדירקטור איננה "כמו שצריך".</w:t>
      </w:r>
    </w:p>
    <w:p w:rsidR="00282F22" w:rsidRDefault="00282F22" w:rsidP="00282F22">
      <w:pPr>
        <w:pStyle w:val="Ruller41"/>
        <w:rPr>
          <w:rtl/>
        </w:rPr>
      </w:pPr>
    </w:p>
    <w:p w:rsidR="00282F22" w:rsidRDefault="00282F22" w:rsidP="00282F22">
      <w:pPr>
        <w:pStyle w:val="Ruller4"/>
      </w:pPr>
      <w:r>
        <w:rPr>
          <w:rFonts w:hint="cs"/>
          <w:rtl/>
        </w:rPr>
        <w:t>השרים עמדו על הרקע שעמד בבסיס ההחלטה להעביר את העותר מתפקידו. לטענתם, לאחר כניסתו של שר התקשורת</w:t>
      </w:r>
      <w:r w:rsidRPr="00CA21D5">
        <w:rPr>
          <w:rFonts w:hint="cs"/>
          <w:rtl/>
        </w:rPr>
        <w:t xml:space="preserve"> </w:t>
      </w:r>
      <w:r>
        <w:rPr>
          <w:rFonts w:hint="cs"/>
          <w:rtl/>
        </w:rPr>
        <w:t>לתפקידו, התגלה לו לאחר בירור מעמיק באמצעות גורמי מקצוע שונים במשרד ומחוצה לו, כי תפקודו של הדואר הוא בכי רע, וכי ההידרדרות במצבו נעוצה בהתנהלותו של העותר ולכל הפחות כי לא ניתן מענה על ידו לבעיות השונות בקצב משביע רצון. לטענת שר התקשורת גם גורמי מקצוע הביעו מורת רוח מתפקוד העותר, ובראשם מנכ"ל משרד האוצר, וכך גם נמתחה ביקורת על העותר על ידי מנהלת רשות החברות הממשלתיות.</w:t>
      </w:r>
    </w:p>
    <w:p w:rsidR="00282F22" w:rsidRDefault="00282F22" w:rsidP="00282F22">
      <w:pPr>
        <w:pStyle w:val="Ruller4"/>
        <w:numPr>
          <w:ilvl w:val="0"/>
          <w:numId w:val="0"/>
        </w:numPr>
      </w:pPr>
    </w:p>
    <w:p w:rsidR="00282F22" w:rsidRDefault="00282F22" w:rsidP="00282F22">
      <w:pPr>
        <w:pStyle w:val="Ruller4"/>
      </w:pPr>
      <w:r>
        <w:rPr>
          <w:rFonts w:hint="cs"/>
          <w:rtl/>
        </w:rPr>
        <w:t>לטענת השרים, על רקע זה הסמכות להעביר את העותר מתפקידו הופעלה כדין והליך העברתו מתפקידו היה ללא רבב. השרים ניסו להימנע מלנקוט בצעד זה, נתנו לעותר הזדמנויות שונות לקבל את עמדותיהם המקצועיות לטובת החברה והציבור, אולם העותר דחה הזדמנויות אלה מכל וכל. התשתית העובדתית נבחנה בעיון וביסודיות במשך חודשים ארוכים, נעשתה פנייה רשמית ומפורטת לרשות לשם היוועצות עמה כמצוות המחוקק, עמדתה של הרשות נבחנה לעומק במשך זמן רב, קוים הליך שימוע ורק לאחר מיצוי כל הטענות וההליכים הפעילו השרים את סמכותם והורו על העברת העותר מתפקידו בצירוף מכתב הנמקה ארוך ומפורט.</w:t>
      </w:r>
    </w:p>
    <w:p w:rsidR="00282F22" w:rsidRPr="008629D7" w:rsidRDefault="00282F22" w:rsidP="00282F22">
      <w:pPr>
        <w:pStyle w:val="Ruller4"/>
        <w:numPr>
          <w:ilvl w:val="0"/>
          <w:numId w:val="0"/>
        </w:numPr>
      </w:pPr>
    </w:p>
    <w:p w:rsidR="00282F22" w:rsidRDefault="00282F22" w:rsidP="00282F22">
      <w:pPr>
        <w:pStyle w:val="Ruller4"/>
        <w:rPr>
          <w:rtl/>
        </w:rPr>
      </w:pPr>
      <w:r>
        <w:rPr>
          <w:rFonts w:hint="cs"/>
          <w:rtl/>
        </w:rPr>
        <w:t xml:space="preserve">אין גם מקום לקבל את טענת העותר כי ההחלטה על העברתו מתפקידו התקבלה ללא כל דין ודברים עמו. לטענת שר התקשורת התקיימו ישיבות עם הצוות המקצועי של החברה והמשרד במהלך חודש ינואר 2023, שבאחת מהן עלו סוגיות הקשורות לתפקוד החברה ובהן רמת השירות הירודה, סוגיית סגירת הסניפים, עיכובים בהזמנות של לקוחות ועוד. בין חודש פברואר 2023 לאמצע חודש מרץ 2023 העביר ראש מטה שר התקשורת לטיפולו של מזכיר החברה תלונות רבות שהגיעו ללשכת השר מטעם ראשי </w:t>
      </w:r>
      <w:r>
        <w:rPr>
          <w:rFonts w:hint="cs"/>
          <w:rtl/>
        </w:rPr>
        <w:lastRenderedPageBreak/>
        <w:t xml:space="preserve">רשויות שונות לגבי רמת השירות הירודה ולגבי סגירת סניפים. מכאן שהעותר ידע על דרישת השר לשפר את השירות בחברה, כאשר הצוות המקצועי של המשרד פנה לא אחת לחברה על אודות התלונות שעניינן השירות הלקוי שהיא מספקת לציבור. </w:t>
      </w:r>
    </w:p>
    <w:p w:rsidR="00282F22" w:rsidRDefault="00282F22" w:rsidP="00282F22">
      <w:pPr>
        <w:pStyle w:val="Ruller4"/>
        <w:numPr>
          <w:ilvl w:val="0"/>
          <w:numId w:val="0"/>
        </w:numPr>
      </w:pPr>
    </w:p>
    <w:p w:rsidR="00282F22" w:rsidRDefault="00282F22" w:rsidP="00282F22">
      <w:pPr>
        <w:pStyle w:val="Ruller4"/>
        <w:rPr>
          <w:rtl/>
        </w:rPr>
      </w:pPr>
      <w:r>
        <w:rPr>
          <w:rFonts w:hint="cs"/>
          <w:rtl/>
        </w:rPr>
        <w:t>גם הנתונים מצביעים על כך שהעותר כשל בתפקידו להביא לשיפור שירותי הדואר הניתנים לציבור הרחב, שכן מספר התלונות כלפי תפקוד הדואר גדל, והכנסותיו ירדו באופן חד מאז כניסתו של העותר לתפקידו. העותר טוען אמנם כי חל שיפור במצבה הפיננסי של החברה בתחילת שנת 2023, אולם עמדת השרים והדרג המקצועי במשרד התקשורת היא כי שיפור זה נבע מגורמים שאינם קשורים לביצועי החברה, כגון עליית הריבית, שחרור תעריפים שבוצע על ידי משרד התקשורת והסכמי ההבראה שאפשרו מימון חיצוני לכוח האדם בחברה. לדוגמה</w:t>
      </w:r>
      <w:r w:rsidRPr="00154A8F">
        <w:rPr>
          <w:rFonts w:hint="cs"/>
          <w:rtl/>
        </w:rPr>
        <w:t>, בשנת 2023 נוצר חיסכון בהוצאות שכר כתוצאה מפרישת עובדים (חיסכון שנתי אשר נאמר בסך של 190 מיליון ש"ח)</w:t>
      </w:r>
      <w:r>
        <w:rPr>
          <w:rFonts w:hint="cs"/>
          <w:rtl/>
        </w:rPr>
        <w:t>,</w:t>
      </w:r>
      <w:r w:rsidRPr="00154A8F">
        <w:rPr>
          <w:rFonts w:hint="cs"/>
          <w:rtl/>
        </w:rPr>
        <w:t xml:space="preserve"> ונוצר רווח הון ממכירת נדל</w:t>
      </w:r>
      <w:r>
        <w:rPr>
          <w:rFonts w:hint="cs"/>
          <w:rtl/>
        </w:rPr>
        <w:t>"</w:t>
      </w:r>
      <w:r w:rsidRPr="00154A8F">
        <w:rPr>
          <w:rFonts w:hint="cs"/>
          <w:rtl/>
        </w:rPr>
        <w:t xml:space="preserve">ן למדינה בסך של 146 מיליון ש"ח. רווח נוסף נבע מעליה בהכנסות בנק הדואר כתוצאה מעליית הריבית במשק ועליית תעריפי העמלות שמשלם הציבור. </w:t>
      </w:r>
      <w:r>
        <w:rPr>
          <w:rFonts w:hint="cs"/>
          <w:rtl/>
        </w:rPr>
        <w:t>לצד זאת</w:t>
      </w:r>
      <w:r w:rsidRPr="00154A8F">
        <w:rPr>
          <w:rFonts w:hint="cs"/>
          <w:rtl/>
        </w:rPr>
        <w:t xml:space="preserve">, החברה רשמה תזרים מזומנים שלילי מפעילות שוטפת בשנת 2023 למרות מימון המדינה בהיקף של כ-1.8 מיליארד </w:t>
      </w:r>
      <w:r>
        <w:rPr>
          <w:rFonts w:hint="cs"/>
          <w:rtl/>
        </w:rPr>
        <w:t>ש"ח</w:t>
      </w:r>
      <w:r w:rsidRPr="00154A8F">
        <w:rPr>
          <w:rFonts w:hint="cs"/>
          <w:rtl/>
        </w:rPr>
        <w:t>.</w:t>
      </w:r>
      <w:r w:rsidRPr="00AB6300">
        <w:rPr>
          <w:rFonts w:hint="cs"/>
          <w:rtl/>
        </w:rPr>
        <w:t xml:space="preserve"> </w:t>
      </w:r>
      <w:r>
        <w:rPr>
          <w:rFonts w:hint="cs"/>
          <w:rtl/>
        </w:rPr>
        <w:t xml:space="preserve">העובדות מצביעות אפוא על כך שכתוצאה מכהונת העותר כיו"ר הדירקטוריון, לחברה נגרמו נזקים של ממש כאשר הפסדיה מגיעים לשיעור ניכר, בעוד שהרווח המדומה שלה נוצר ממהלכים שאינם נובעים ממעשי העותר. </w:t>
      </w:r>
    </w:p>
    <w:p w:rsidR="00282F22" w:rsidRDefault="00282F22" w:rsidP="00282F22">
      <w:pPr>
        <w:pStyle w:val="Ruller41"/>
        <w:rPr>
          <w:rtl/>
        </w:rPr>
      </w:pPr>
    </w:p>
    <w:p w:rsidR="00282F22" w:rsidRDefault="00282F22" w:rsidP="00282F22">
      <w:pPr>
        <w:pStyle w:val="Ruller4"/>
      </w:pPr>
      <w:r>
        <w:rPr>
          <w:rFonts w:hint="cs"/>
          <w:rtl/>
        </w:rPr>
        <w:t xml:space="preserve">השרים הוסיפו וטענו כי אין כל בסיס לטענה שההחלטה על העברת העותר מתפקידו נעשתה מסיבות פוליטיות ונגועה בשיקולים זרים. הטענה כי מניעים פוליטיים עמדו בבסיס ההחלטה נטענה בעלמא וללא כל תשתית ראייתית ולוּ מינימלית ביותר. הנימוקים שעמדו בבסיס ההחלטה על העברת העותר מתפקידו מתמקדים בנתונים אשר הלכה למעשה אינם שנויים כלל במחלוקת עם גורמי המקצוע, וכך גם הממצאים עליהם הצביעו השרים מהם עולים ליקויים שונים. המחלוקת נעוצה בעמדת חלק מגורמי המקצוע על פיה יש להתייחס לממצאים אלה בשים לב למצבו הכללי של הדואר או במחלוקת מקצועית האם מדובר בנתונים המצביעים על תפקוד לקוי. אולם ההחלטה להעביר את העותר מתפקידו, המתבססת על התשתית העובדתית והמקצועית שהוצגה לשרים על ידי גורמי המקצוע, נטועה עמוק בטווח שיקול הדעת </w:t>
      </w:r>
      <w:proofErr w:type="spellStart"/>
      <w:r>
        <w:rPr>
          <w:rFonts w:hint="cs"/>
          <w:rtl/>
        </w:rPr>
        <w:t>המינהלי</w:t>
      </w:r>
      <w:proofErr w:type="spellEnd"/>
      <w:r>
        <w:rPr>
          <w:rFonts w:hint="cs"/>
          <w:rtl/>
        </w:rPr>
        <w:t xml:space="preserve"> שהחוק הקנה להם, והיא נועדה לקדם את טובת הציבור והחברה. מדובר בסוגיות המצויות בלב הפררוגטיבה הניהולית שעליה מופקדים השרים מכוח תפקידם. השרים התנהלו בלב פתוח ונפש חפצה, בסבלנות ובאחריות, המתינו להתגבשותה של תשתית ראייתית נאותה, בחנו אותה, קיימו התייעצות יסודית ושימוע והתייחסו ביסודיות לכל אחת מטענות </w:t>
      </w:r>
      <w:r>
        <w:rPr>
          <w:rFonts w:hint="cs"/>
          <w:rtl/>
        </w:rPr>
        <w:lastRenderedPageBreak/>
        <w:t xml:space="preserve">הרשות והעותר. השרים הדגישו כי חזקת התקינות </w:t>
      </w:r>
      <w:proofErr w:type="spellStart"/>
      <w:r>
        <w:rPr>
          <w:rFonts w:hint="cs"/>
          <w:rtl/>
        </w:rPr>
        <w:t>המינהלית</w:t>
      </w:r>
      <w:proofErr w:type="spellEnd"/>
      <w:r>
        <w:rPr>
          <w:rFonts w:hint="cs"/>
          <w:rtl/>
        </w:rPr>
        <w:t xml:space="preserve"> לא נסתרה וכי מדובר בסוגיה מסוג הסוגיות שעל בית המשפט להימנע מלהתערב בהן.</w:t>
      </w:r>
    </w:p>
    <w:p w:rsidR="00282F22" w:rsidRDefault="00282F22" w:rsidP="00282F22">
      <w:pPr>
        <w:pStyle w:val="Ruller4"/>
        <w:numPr>
          <w:ilvl w:val="0"/>
          <w:numId w:val="0"/>
        </w:numPr>
      </w:pPr>
    </w:p>
    <w:p w:rsidR="00282F22" w:rsidRPr="00154A8F" w:rsidRDefault="00282F22" w:rsidP="00282F22">
      <w:pPr>
        <w:pStyle w:val="Ruller4"/>
        <w:rPr>
          <w:rtl/>
        </w:rPr>
      </w:pPr>
      <w:r w:rsidRPr="00154A8F">
        <w:rPr>
          <w:rFonts w:hint="cs"/>
          <w:rtl/>
        </w:rPr>
        <w:t>במהלך הדיון שהתקיים לפנינו ביום 4.1.2024 הוסיף וטען בא-כוח השר לשיתוף פעולה אזורי כי לשרים נתונה הסמכות להכתיב מדיניות מסוימת, ואנשי המקצוע מחויבים לממש מדיניות זו. מכאן כי שר רשאי להעביר מתפקידו איש מקצוע הפועל בניגוד למדיניות שהותוותה</w:t>
      </w:r>
      <w:r>
        <w:rPr>
          <w:rFonts w:hint="cs"/>
          <w:rtl/>
        </w:rPr>
        <w:t>,</w:t>
      </w:r>
      <w:r w:rsidRPr="00154A8F">
        <w:rPr>
          <w:rFonts w:hint="cs"/>
          <w:rtl/>
        </w:rPr>
        <w:t xml:space="preserve"> וכך גם "מילוי תפקיד כראוי" בא בגדר מדיניות שהשר רשאי להכתיב.</w:t>
      </w:r>
    </w:p>
    <w:p w:rsidR="00282F22" w:rsidRDefault="00282F22" w:rsidP="00282F22">
      <w:pPr>
        <w:pStyle w:val="Ruller41"/>
        <w:rPr>
          <w:rtl/>
        </w:rPr>
      </w:pPr>
    </w:p>
    <w:p w:rsidR="00282F22" w:rsidRDefault="00282F22" w:rsidP="00282F22">
      <w:pPr>
        <w:pStyle w:val="Ruller4"/>
        <w:rPr>
          <w:rtl/>
        </w:rPr>
      </w:pPr>
      <w:r w:rsidRPr="00182E9F">
        <w:rPr>
          <w:rFonts w:hint="cs"/>
          <w:rtl/>
        </w:rPr>
        <w:t>רשות החברות הממשלתיות</w:t>
      </w:r>
      <w:r>
        <w:rPr>
          <w:rFonts w:hint="cs"/>
          <w:rtl/>
        </w:rPr>
        <w:t xml:space="preserve"> וכן משיבה 5, היועצת המשפטית לממשלה (</w:t>
      </w:r>
      <w:r w:rsidRPr="00BF63E9">
        <w:rPr>
          <w:rFonts w:ascii="Century" w:hAnsi="Century" w:hint="cs"/>
          <w:sz w:val="22"/>
          <w:rtl/>
        </w:rPr>
        <w:t>להלן ביחד:</w:t>
      </w:r>
      <w:r w:rsidRPr="00BF63E9">
        <w:rPr>
          <w:rFonts w:hint="cs"/>
          <w:rtl/>
        </w:rPr>
        <w:t xml:space="preserve"> </w:t>
      </w:r>
      <w:r w:rsidRPr="00BF63E9">
        <w:rPr>
          <w:rFonts w:ascii="Century" w:hAnsi="Century" w:cs="Miriam" w:hint="cs"/>
          <w:b/>
          <w:spacing w:val="0"/>
          <w:sz w:val="22"/>
          <w:szCs w:val="24"/>
          <w:rtl/>
        </w:rPr>
        <w:t>המשיבות</w:t>
      </w:r>
      <w:r>
        <w:rPr>
          <w:rFonts w:hint="cs"/>
          <w:rtl/>
        </w:rPr>
        <w:t xml:space="preserve">) הצטרפו לעמדת העותרים כי בהחלטה להעביר את העותר מתפקידו כיו"ר הדירקטוריון נפלו פגמים מהותיים היורדים לשורשו של עניין והמחייבים את ביטול ההחלטה. המשיבות עמדו על חומרת הפגמים החותרים לטענתן תחת עקרון היסוד של חוק החברות הממשלתיות, שנועד להבטיח את עצמאות שיקול הדעת של הדירקטורים בחברה ממשלתית כך שיפעלו לטובת האינטרסים של החברה ולא יהיו נתונים להשפעה פוליטית על החלטותיהם. </w:t>
      </w:r>
    </w:p>
    <w:p w:rsidR="00282F22" w:rsidRDefault="00282F22" w:rsidP="00282F22">
      <w:pPr>
        <w:pStyle w:val="Ruller41"/>
        <w:rPr>
          <w:rtl/>
        </w:rPr>
      </w:pPr>
    </w:p>
    <w:p w:rsidR="00282F22" w:rsidRDefault="00282F22" w:rsidP="00282F22">
      <w:pPr>
        <w:pStyle w:val="Ruller4"/>
        <w:rPr>
          <w:rtl/>
        </w:rPr>
      </w:pPr>
      <w:r>
        <w:rPr>
          <w:rFonts w:hint="cs"/>
          <w:rtl/>
        </w:rPr>
        <w:t xml:space="preserve">המשיבות עמדו בהרחבה על ההסדרים הקבועים בדיני החברות ככלל ובחוק החברות הממשלתיות בפרט, אשר נועדו להבטיח את עצמאות הדירקטורים. עצמאות זו מתבטאת בין היתר באופן מינויו של דירקטור בחברה ממשלתית, בתנאי הכשירות המאפיינים תפקיד זה ובהסדרים הקובעים את אופן ההעברה מתפקידו. בהתייחס לחלופה הקבועה בסעיף 22(א)(6) לחוק שעניינה העברת דירקטור מתפקידו בשל כך שאינו ממלא את תפקידו כראוי, הדגישו המשיבות כי יישום סעיף זה מחייב רף גבוה של כשל במילוי התפקיד. כן נטען כי </w:t>
      </w:r>
      <w:r w:rsidRPr="00182E9F">
        <w:rPr>
          <w:rFonts w:hint="cs"/>
          <w:rtl/>
        </w:rPr>
        <w:t>מכך שמעולם לא נעשה שימוש בעילה זו, יש ללמוד כי השימוש בה צריך להיעשות במקרים חריגים ביותר</w:t>
      </w:r>
      <w:r>
        <w:rPr>
          <w:rFonts w:hint="cs"/>
          <w:rtl/>
        </w:rPr>
        <w:t xml:space="preserve">. בכל מקרה, </w:t>
      </w:r>
      <w:r w:rsidRPr="00CA7E51">
        <w:rPr>
          <w:rFonts w:hint="eastAsia"/>
          <w:rtl/>
        </w:rPr>
        <w:t>נדרשת</w:t>
      </w:r>
      <w:r w:rsidRPr="00CA7E51">
        <w:rPr>
          <w:rtl/>
        </w:rPr>
        <w:t xml:space="preserve"> </w:t>
      </w:r>
      <w:r w:rsidRPr="00CA7E51">
        <w:rPr>
          <w:rFonts w:hint="eastAsia"/>
          <w:rtl/>
        </w:rPr>
        <w:t>העמדת</w:t>
      </w:r>
      <w:r w:rsidRPr="00CA7E51">
        <w:rPr>
          <w:rtl/>
        </w:rPr>
        <w:t xml:space="preserve"> </w:t>
      </w:r>
      <w:r w:rsidRPr="00CA7E51">
        <w:rPr>
          <w:rFonts w:hint="eastAsia"/>
          <w:rtl/>
        </w:rPr>
        <w:t>תשתית</w:t>
      </w:r>
      <w:r w:rsidRPr="00CA7E51">
        <w:rPr>
          <w:rtl/>
        </w:rPr>
        <w:t xml:space="preserve"> </w:t>
      </w:r>
      <w:r w:rsidRPr="00CA7E51">
        <w:rPr>
          <w:rFonts w:hint="eastAsia"/>
          <w:rtl/>
        </w:rPr>
        <w:t>עובדתית</w:t>
      </w:r>
      <w:r w:rsidRPr="00CA7E51">
        <w:rPr>
          <w:rtl/>
        </w:rPr>
        <w:t xml:space="preserve"> </w:t>
      </w:r>
      <w:r w:rsidRPr="00CA7E51">
        <w:rPr>
          <w:rFonts w:hint="eastAsia"/>
          <w:rtl/>
        </w:rPr>
        <w:t>מבוססת</w:t>
      </w:r>
      <w:r w:rsidRPr="00CA7E51">
        <w:rPr>
          <w:rtl/>
        </w:rPr>
        <w:t xml:space="preserve"> </w:t>
      </w:r>
      <w:r w:rsidRPr="00CA7E51">
        <w:rPr>
          <w:rFonts w:hint="eastAsia"/>
          <w:rtl/>
        </w:rPr>
        <w:t>ומוצקה</w:t>
      </w:r>
      <w:r>
        <w:rPr>
          <w:rFonts w:hint="cs"/>
          <w:rtl/>
        </w:rPr>
        <w:t xml:space="preserve"> ממנה עולה כי נפל בהתנהלות הדירקטור פגם מהותי היורד לשורש העניין. מדובר במקרים שבהם הוכחה סטייה משמעותית מההתנהלות המצופה מדירקטור בחברה ממשלתית. לא בכדי קבע המחוקק כי החלטה כזו צריכה להתקבל לאחר התייעצות עם רשות החברות הממשלתיות, המחזיקה בידע, במומחיות ובמידע הרלוונטיים ביחס לתפקוד החברה ונושאי המשרה בה. במקרה זה התשתית העובדתית עליה נסמכת החלטת השרים הינה חסרה ביותר ואינה מהווה בסיס ראוי להפעלת הסמכות. </w:t>
      </w:r>
    </w:p>
    <w:p w:rsidR="00282F22" w:rsidRPr="003D2577" w:rsidRDefault="00282F22" w:rsidP="00282F22">
      <w:pPr>
        <w:pStyle w:val="Ruller41"/>
        <w:rPr>
          <w:rtl/>
        </w:rPr>
      </w:pPr>
    </w:p>
    <w:p w:rsidR="00282F22" w:rsidRDefault="00282F22" w:rsidP="00282F22">
      <w:pPr>
        <w:pStyle w:val="Ruller4"/>
        <w:rPr>
          <w:rtl/>
        </w:rPr>
      </w:pPr>
      <w:r>
        <w:rPr>
          <w:rFonts w:hint="cs"/>
          <w:rtl/>
        </w:rPr>
        <w:lastRenderedPageBreak/>
        <w:t>בהקשר האמור נטען כי אין ממש ב</w:t>
      </w:r>
      <w:r w:rsidRPr="00182E9F">
        <w:rPr>
          <w:rFonts w:hint="cs"/>
          <w:rtl/>
        </w:rPr>
        <w:t xml:space="preserve">טענת השרים כי ההודעה שנמסרה לעותר כבר בחודש מרץ 2023 התבססה על דיונים מקצועיים ונתונים שהוצגו לשר התקשורת לפני </w:t>
      </w:r>
      <w:r>
        <w:rPr>
          <w:rFonts w:hint="cs"/>
          <w:rtl/>
        </w:rPr>
        <w:t>כן, וכי ברקע להודעה עמד היקף התלונות שקיבל שר התקשורת מגורמים שונים. הנתונים מצביעים על כך שהחל ממועד הרישיון החדש שנחתם על ידי שר התקשורת בחודש פברואר 2023 התקבלו כלפי הדואר תלונות ספורות בלבד, באופן המביא למסקנה כי קיים ספק אם יכולה הייתה להתגבש תשתית עובדתית מספקת לביסוס ההודעה שמסר השר לעותר. מעבר לכך, בעת שנמסרה ההודעה לעותר בחודש מרץ 2023, השר הממונה על רשות החברות הממשלתיות באותה עת, שר האוצר, לא תמך בעמדת שר התקשורת ואף סבר כי לא יהיה זה נכון להחליף בעלי תפקידים בכירים באותו זמן.</w:t>
      </w:r>
    </w:p>
    <w:p w:rsidR="00282F22" w:rsidRPr="003D2577" w:rsidRDefault="00282F22" w:rsidP="00282F22">
      <w:pPr>
        <w:pStyle w:val="Ruller41"/>
        <w:rPr>
          <w:rtl/>
        </w:rPr>
      </w:pPr>
    </w:p>
    <w:p w:rsidR="00282F22" w:rsidRDefault="00282F22" w:rsidP="00282F22">
      <w:pPr>
        <w:pStyle w:val="Ruller4"/>
        <w:rPr>
          <w:rtl/>
        </w:rPr>
      </w:pPr>
      <w:r>
        <w:rPr>
          <w:rFonts w:hint="cs"/>
          <w:rtl/>
        </w:rPr>
        <w:t xml:space="preserve">גם התשתית העובדתית שנפרשה בהמשך כפי שהוצגה על ידי השרים במכתביהם אינה תומכת במסקנה כי העותר לא ביצע את תפקידו כראוי. התשתית שהציגו השרים מתמקדת בנושאים מתחומי פעולה שונים של הדירקטוריון ואינה מבססת טיעון באשר לתפקוד לא ראוי שלו. חלק הארי מהטענות העובדתיות שהוצגו במכתבי השרים, הופרך על ידי הרשות והעותר. השרים התעלמו מהנתונים שהציגה רשות החברות בהיותה הגורם המקצועי האמון על החברות הממשלתיות ועל הפיקוח עליהן, דבר המקשה כשלעצמו על ביסוס תשתית עובדתית כנדרש. השרים בחרו להתמקד בנתונים מסוימים, לעתים תוך הצגת תמונת מצב חלקית, ולהתעלם מנתונים אחרים המבססים תשתית מוצקה באשר לתפקודו הנאות של העותר כיו"ר דירקטוריון בחברה המתמודדת עם אתגרים ניהוליים מורכבים ומשמעותיים ביותר. </w:t>
      </w:r>
    </w:p>
    <w:p w:rsidR="00282F22" w:rsidRDefault="00282F22" w:rsidP="00282F22">
      <w:pPr>
        <w:pStyle w:val="Ruller41"/>
        <w:rPr>
          <w:rtl/>
        </w:rPr>
      </w:pPr>
    </w:p>
    <w:p w:rsidR="00282F22" w:rsidRDefault="00282F22" w:rsidP="00282F22">
      <w:pPr>
        <w:pStyle w:val="Ruller4"/>
        <w:rPr>
          <w:rtl/>
        </w:rPr>
      </w:pPr>
      <w:r>
        <w:rPr>
          <w:rFonts w:hint="cs"/>
          <w:rtl/>
        </w:rPr>
        <w:t xml:space="preserve">הפעלת הסמכות נעשתה אף מבלי שקוימה חובת ההיוועצות הסטטוטורית עם רשות החברות הממשלתיות כדין, חובה אשר יש לקיימה בנפש חפצה ובנכונות לשמוע ולהשתכנע תוך מתן משקל משמעותי לעמדת הרשות. </w:t>
      </w:r>
      <w:r w:rsidRPr="00154A8F">
        <w:rPr>
          <w:rFonts w:hint="cs"/>
          <w:rtl/>
        </w:rPr>
        <w:t>להודעה לעותר מחודש מרץ 2023 לא קדמה כל היוועצות עם רשות החברות הממשלתיות.</w:t>
      </w:r>
      <w:r>
        <w:rPr>
          <w:rFonts w:hint="cs"/>
          <w:rtl/>
        </w:rPr>
        <w:t xml:space="preserve"> גם בהתייחס למכתב ההיוועצות שנשלח בהמשך לרשות, הרי שברי כי לצורך קיום החובה הסטטוטורית האמורה לא ניתן להסתפק בפנייה חד-פעמית, בפרט שעה שבידי הרשות נתונים המנוגדים לעמדת השרים. אי קיום חובת היוועצות כראוי אף עולה מכך שלמכתב ההיוועצות צורף מסמך דומה וכמעט זהה למכתב השימוע שצורף לפניה שנשלחה לעותר. זאת חרף התייחסותה המפורטת של הרשות לנתונים ולטענות שצורפו למכתב ההיוועצות, מבלי שהשרים התייחסו כלל לנתונים העובדתיים ולטענות שהוצגו במענה הרשות, ומבלי לפנות אליה לבירור הפערים שעלו בין הנתונים שבידם לבין הנתונים שבידה. דברים אלה מקבלים משנה תוקף בשים לב למעמדה של הרשות כגוף מקצועי מרכזי בתחום פעילותן של החברות הממשלתיות. </w:t>
      </w:r>
    </w:p>
    <w:p w:rsidR="00282F22" w:rsidRDefault="00282F22" w:rsidP="00282F22">
      <w:pPr>
        <w:pStyle w:val="Ruller41"/>
        <w:rPr>
          <w:rtl/>
        </w:rPr>
      </w:pPr>
    </w:p>
    <w:p w:rsidR="00282F22" w:rsidRDefault="00282F22" w:rsidP="00282F22">
      <w:pPr>
        <w:pStyle w:val="Ruller4"/>
        <w:rPr>
          <w:rtl/>
        </w:rPr>
      </w:pPr>
      <w:r>
        <w:rPr>
          <w:rFonts w:hint="cs"/>
          <w:rtl/>
        </w:rPr>
        <w:t>במקרה זה נפלו גם פגמים בקיום חובת השימוע. כך, לאחר ששר התקשורת הודיע לעותר כבר בחודש מרץ 2023 כי הוא סבור שעליו לסיים את תפקידו, ולאחר שהועבר מענה מפורט מטעם העותר, בהנמקה שצורפה למסמך שבו הוחלט על העברת העותר מתפקידו נכללה תשתית עובדתית שונה ונוספו טענות שלא הופיעו קודם לכן במכתב השימוע. שינויים אלה נערכו מבלי שניתנה לעותר הזדמנות להתמודד עם התשתית המעודכנת ועם הטענות החדשות שהופנו כלפיו.</w:t>
      </w:r>
    </w:p>
    <w:p w:rsidR="00282F22" w:rsidRDefault="00282F22" w:rsidP="00282F22">
      <w:pPr>
        <w:pStyle w:val="Ruller41"/>
        <w:rPr>
          <w:rtl/>
        </w:rPr>
      </w:pPr>
    </w:p>
    <w:p w:rsidR="00282F22" w:rsidRDefault="00282F22" w:rsidP="00282F22">
      <w:pPr>
        <w:pStyle w:val="Ruller4"/>
      </w:pPr>
      <w:r>
        <w:rPr>
          <w:rFonts w:hint="cs"/>
          <w:rtl/>
        </w:rPr>
        <w:t xml:space="preserve">לטענת המשיבות אפוא, הפעלת הסמכות בנסיבות העניין מעוררת חשש ממשי לפגיעה בעצמאות הדירקטורים בחברה. החלטת השרים עלולה לגרום לאפקט מצנן שירתיע דירקטורים המכהנים כיום בחברות ממשלתיות מלהמשיך במילוי תפקידם לטובת החברה שבניהולם תוך הפעלת שיקול דעת עצמאי ומקצועי. </w:t>
      </w:r>
      <w:r w:rsidRPr="00A0452E">
        <w:rPr>
          <w:rFonts w:hint="eastAsia"/>
          <w:rtl/>
        </w:rPr>
        <w:t>חשש</w:t>
      </w:r>
      <w:r>
        <w:rPr>
          <w:rFonts w:hint="cs"/>
          <w:rtl/>
        </w:rPr>
        <w:t xml:space="preserve"> נוסף להשלכות רוחב כתוצאה מהפעלת הסמכות נוגע לפגיעה בהליך ההפרטה המורכב בו מצויה החברה בתקופה זו ואף בהמשך יישום הליך ההבראה בו היא נמצאת. </w:t>
      </w:r>
    </w:p>
    <w:p w:rsidR="00282F22" w:rsidRPr="00C70088" w:rsidRDefault="00282F22" w:rsidP="00282F22">
      <w:pPr>
        <w:pStyle w:val="Ruller41"/>
        <w:rPr>
          <w:rtl/>
        </w:rPr>
      </w:pPr>
    </w:p>
    <w:p w:rsidR="00282F22" w:rsidRPr="00965D28" w:rsidRDefault="00282F22" w:rsidP="00282F22">
      <w:pPr>
        <w:pStyle w:val="Ruller41"/>
        <w:rPr>
          <w:rFonts w:ascii="Century" w:hAnsi="Century" w:cs="Miriam"/>
          <w:b/>
          <w:spacing w:val="0"/>
          <w:szCs w:val="24"/>
          <w:rtl/>
        </w:rPr>
      </w:pPr>
      <w:r w:rsidRPr="0034173F">
        <w:rPr>
          <w:rFonts w:ascii="Century" w:hAnsi="Century" w:cs="Miriam" w:hint="cs"/>
          <w:b/>
          <w:spacing w:val="0"/>
          <w:szCs w:val="24"/>
          <w:rtl/>
        </w:rPr>
        <w:t>דיון והכרעה</w:t>
      </w:r>
      <w:r>
        <w:rPr>
          <w:rFonts w:ascii="Century" w:hAnsi="Century" w:cs="Miriam" w:hint="cs"/>
          <w:b/>
          <w:spacing w:val="0"/>
          <w:szCs w:val="24"/>
          <w:rtl/>
        </w:rPr>
        <w:t xml:space="preserve"> </w:t>
      </w:r>
      <w:r>
        <w:rPr>
          <w:rFonts w:ascii="Century" w:hAnsi="Century" w:cs="Miriam"/>
          <w:b/>
          <w:spacing w:val="0"/>
          <w:szCs w:val="24"/>
          <w:rtl/>
        </w:rPr>
        <w:t>–</w:t>
      </w:r>
      <w:r>
        <w:rPr>
          <w:rFonts w:ascii="Century" w:hAnsi="Century" w:cs="Miriam" w:hint="cs"/>
          <w:b/>
          <w:spacing w:val="0"/>
          <w:szCs w:val="24"/>
          <w:rtl/>
        </w:rPr>
        <w:t xml:space="preserve"> </w:t>
      </w:r>
      <w:r w:rsidRPr="00965D28">
        <w:rPr>
          <w:rFonts w:ascii="Century" w:hAnsi="Century" w:cs="Miriam" w:hint="cs"/>
          <w:b/>
          <w:spacing w:val="0"/>
          <w:szCs w:val="24"/>
          <w:rtl/>
        </w:rPr>
        <w:t>רקע נורמטיבי</w:t>
      </w:r>
    </w:p>
    <w:p w:rsidR="00282F22" w:rsidRDefault="00282F22" w:rsidP="00282F22">
      <w:pPr>
        <w:pStyle w:val="Ruller4"/>
        <w:rPr>
          <w:rtl/>
        </w:rPr>
      </w:pPr>
      <w:r>
        <w:rPr>
          <w:rFonts w:hint="cs"/>
          <w:rtl/>
        </w:rPr>
        <w:t>סעיף 22(א) לחוק החברות הממשלתיות מגדיר את רשימת המצבים שבהם יחדל דירקטור בחברה ממשלתית לכהן, לפני תום התקופה שלה נתמנה. כך קובע הסעיף, כאשר סעיף קטן (6) הוא העומד במוקד ענייננו:</w:t>
      </w:r>
    </w:p>
    <w:p w:rsidR="00282F22" w:rsidRPr="00B66CDA" w:rsidRDefault="00282F22" w:rsidP="00282F22">
      <w:pPr>
        <w:pStyle w:val="Ruller41"/>
        <w:rPr>
          <w:rtl/>
        </w:rPr>
      </w:pPr>
    </w:p>
    <w:p w:rsidR="00282F22" w:rsidRDefault="00282F22" w:rsidP="00282F22">
      <w:pPr>
        <w:pStyle w:val="Ruller5"/>
        <w:rPr>
          <w:rtl/>
        </w:rPr>
      </w:pPr>
      <w:r w:rsidRPr="00B66CDA">
        <w:rPr>
          <w:rFonts w:hint="eastAsia"/>
          <w:rtl/>
        </w:rPr>
        <w:t>דירקטור</w:t>
      </w:r>
      <w:r w:rsidRPr="00B66CDA">
        <w:rPr>
          <w:rtl/>
        </w:rPr>
        <w:t xml:space="preserve"> </w:t>
      </w:r>
      <w:r w:rsidRPr="00B66CDA">
        <w:rPr>
          <w:rFonts w:hint="eastAsia"/>
          <w:rtl/>
        </w:rPr>
        <w:t>יחדל</w:t>
      </w:r>
      <w:r w:rsidRPr="00B66CDA">
        <w:rPr>
          <w:rtl/>
        </w:rPr>
        <w:t xml:space="preserve"> </w:t>
      </w:r>
      <w:r w:rsidRPr="00B66CDA">
        <w:rPr>
          <w:rFonts w:hint="eastAsia"/>
          <w:rtl/>
        </w:rPr>
        <w:t>לכהן</w:t>
      </w:r>
      <w:r w:rsidRPr="00B66CDA">
        <w:rPr>
          <w:rtl/>
        </w:rPr>
        <w:t xml:space="preserve"> </w:t>
      </w:r>
      <w:r w:rsidRPr="00B66CDA">
        <w:rPr>
          <w:rFonts w:hint="eastAsia"/>
          <w:rtl/>
        </w:rPr>
        <w:t>לפני</w:t>
      </w:r>
      <w:r w:rsidRPr="00B66CDA">
        <w:rPr>
          <w:rtl/>
        </w:rPr>
        <w:t xml:space="preserve"> </w:t>
      </w:r>
      <w:r w:rsidRPr="00B66CDA">
        <w:rPr>
          <w:rFonts w:hint="eastAsia"/>
          <w:rtl/>
        </w:rPr>
        <w:t>תום</w:t>
      </w:r>
      <w:r w:rsidRPr="00B66CDA">
        <w:rPr>
          <w:rtl/>
        </w:rPr>
        <w:t xml:space="preserve"> </w:t>
      </w:r>
      <w:r w:rsidRPr="00B66CDA">
        <w:rPr>
          <w:rFonts w:hint="eastAsia"/>
          <w:rtl/>
        </w:rPr>
        <w:t>התקופה</w:t>
      </w:r>
      <w:r w:rsidRPr="00B66CDA">
        <w:rPr>
          <w:rtl/>
        </w:rPr>
        <w:t xml:space="preserve"> </w:t>
      </w:r>
      <w:r w:rsidRPr="00B66CDA">
        <w:rPr>
          <w:rFonts w:hint="eastAsia"/>
          <w:rtl/>
        </w:rPr>
        <w:t>שלה</w:t>
      </w:r>
      <w:r w:rsidRPr="00B66CDA">
        <w:rPr>
          <w:rtl/>
        </w:rPr>
        <w:t xml:space="preserve"> </w:t>
      </w:r>
      <w:r w:rsidRPr="00B66CDA">
        <w:rPr>
          <w:rFonts w:hint="eastAsia"/>
          <w:rtl/>
        </w:rPr>
        <w:t>נתמנה</w:t>
      </w:r>
      <w:r w:rsidRPr="00B66CDA">
        <w:rPr>
          <w:rtl/>
        </w:rPr>
        <w:t xml:space="preserve"> </w:t>
      </w:r>
      <w:r w:rsidRPr="00B66CDA">
        <w:rPr>
          <w:rFonts w:hint="eastAsia"/>
          <w:rtl/>
        </w:rPr>
        <w:t>באחת</w:t>
      </w:r>
      <w:r w:rsidRPr="00B66CDA">
        <w:rPr>
          <w:rtl/>
        </w:rPr>
        <w:t xml:space="preserve"> </w:t>
      </w:r>
      <w:r w:rsidRPr="00B66CDA">
        <w:rPr>
          <w:rFonts w:hint="eastAsia"/>
          <w:rtl/>
        </w:rPr>
        <w:t>מאלה</w:t>
      </w:r>
      <w:r w:rsidRPr="00B66CDA">
        <w:rPr>
          <w:rtl/>
        </w:rPr>
        <w:t>:</w:t>
      </w:r>
    </w:p>
    <w:p w:rsidR="00282F22" w:rsidRDefault="00282F22" w:rsidP="00282F22">
      <w:pPr>
        <w:pStyle w:val="Ruller5"/>
        <w:rPr>
          <w:rtl/>
        </w:rPr>
      </w:pPr>
      <w:r>
        <w:rPr>
          <w:rtl/>
        </w:rPr>
        <w:t>(1)</w:t>
      </w:r>
      <w:r>
        <w:rPr>
          <w:rFonts w:hint="cs"/>
          <w:rtl/>
        </w:rPr>
        <w:t xml:space="preserve"> </w:t>
      </w:r>
      <w:r>
        <w:rPr>
          <w:rFonts w:hint="eastAsia"/>
          <w:rtl/>
        </w:rPr>
        <w:t>התפטר</w:t>
      </w:r>
      <w:r>
        <w:rPr>
          <w:rtl/>
        </w:rPr>
        <w:t xml:space="preserve"> </w:t>
      </w:r>
      <w:r>
        <w:rPr>
          <w:rFonts w:hint="eastAsia"/>
          <w:rtl/>
        </w:rPr>
        <w:t>במסירת</w:t>
      </w:r>
      <w:r>
        <w:rPr>
          <w:rtl/>
        </w:rPr>
        <w:t xml:space="preserve"> </w:t>
      </w:r>
      <w:r>
        <w:rPr>
          <w:rFonts w:hint="eastAsia"/>
          <w:rtl/>
        </w:rPr>
        <w:t>כתב</w:t>
      </w:r>
      <w:r>
        <w:rPr>
          <w:rtl/>
        </w:rPr>
        <w:t xml:space="preserve"> </w:t>
      </w:r>
      <w:r>
        <w:rPr>
          <w:rFonts w:hint="eastAsia"/>
          <w:rtl/>
        </w:rPr>
        <w:t>התפטרות</w:t>
      </w:r>
      <w:r>
        <w:rPr>
          <w:rtl/>
        </w:rPr>
        <w:t xml:space="preserve"> </w:t>
      </w:r>
      <w:r>
        <w:rPr>
          <w:rFonts w:hint="eastAsia"/>
          <w:rtl/>
        </w:rPr>
        <w:t>לשרים</w:t>
      </w:r>
      <w:r>
        <w:rPr>
          <w:rtl/>
        </w:rPr>
        <w:t xml:space="preserve">; </w:t>
      </w:r>
      <w:r>
        <w:rPr>
          <w:rFonts w:hint="eastAsia"/>
          <w:rtl/>
        </w:rPr>
        <w:t>השרים</w:t>
      </w:r>
      <w:r>
        <w:rPr>
          <w:rtl/>
        </w:rPr>
        <w:t xml:space="preserve"> </w:t>
      </w:r>
      <w:r>
        <w:rPr>
          <w:rFonts w:hint="eastAsia"/>
          <w:rtl/>
        </w:rPr>
        <w:t>רשאים</w:t>
      </w:r>
      <w:r>
        <w:rPr>
          <w:rtl/>
        </w:rPr>
        <w:t xml:space="preserve"> </w:t>
      </w:r>
      <w:r>
        <w:rPr>
          <w:rFonts w:hint="eastAsia"/>
          <w:rtl/>
        </w:rPr>
        <w:t>לעכב</w:t>
      </w:r>
      <w:r>
        <w:rPr>
          <w:rtl/>
        </w:rPr>
        <w:t xml:space="preserve"> </w:t>
      </w:r>
      <w:r>
        <w:rPr>
          <w:rFonts w:hint="eastAsia"/>
          <w:rtl/>
        </w:rPr>
        <w:t>את</w:t>
      </w:r>
      <w:r>
        <w:rPr>
          <w:rtl/>
        </w:rPr>
        <w:t xml:space="preserve"> </w:t>
      </w:r>
      <w:r>
        <w:rPr>
          <w:rFonts w:hint="eastAsia"/>
          <w:rtl/>
        </w:rPr>
        <w:t>תוקף</w:t>
      </w:r>
      <w:r>
        <w:rPr>
          <w:rtl/>
        </w:rPr>
        <w:t xml:space="preserve"> </w:t>
      </w:r>
      <w:r>
        <w:rPr>
          <w:rFonts w:hint="eastAsia"/>
          <w:rtl/>
        </w:rPr>
        <w:t>ההתפטרות</w:t>
      </w:r>
      <w:r>
        <w:rPr>
          <w:rtl/>
        </w:rPr>
        <w:t xml:space="preserve"> </w:t>
      </w:r>
      <w:r>
        <w:rPr>
          <w:rFonts w:hint="eastAsia"/>
          <w:rtl/>
        </w:rPr>
        <w:t>לא</w:t>
      </w:r>
      <w:r>
        <w:rPr>
          <w:rtl/>
        </w:rPr>
        <w:t xml:space="preserve"> </w:t>
      </w:r>
      <w:r>
        <w:rPr>
          <w:rFonts w:hint="eastAsia"/>
          <w:rtl/>
        </w:rPr>
        <w:t>יותר</w:t>
      </w:r>
      <w:r>
        <w:rPr>
          <w:rtl/>
        </w:rPr>
        <w:t xml:space="preserve"> </w:t>
      </w:r>
      <w:r>
        <w:rPr>
          <w:rFonts w:hint="eastAsia"/>
          <w:rtl/>
        </w:rPr>
        <w:t>מחודש</w:t>
      </w:r>
      <w:r>
        <w:rPr>
          <w:rtl/>
        </w:rPr>
        <w:t xml:space="preserve"> </w:t>
      </w:r>
      <w:r>
        <w:rPr>
          <w:rFonts w:hint="eastAsia"/>
          <w:rtl/>
        </w:rPr>
        <w:t>ימים</w:t>
      </w:r>
      <w:r>
        <w:rPr>
          <w:rtl/>
        </w:rPr>
        <w:t>;</w:t>
      </w:r>
    </w:p>
    <w:p w:rsidR="00282F22" w:rsidRDefault="00282F22" w:rsidP="00282F22">
      <w:pPr>
        <w:pStyle w:val="Ruller5"/>
        <w:rPr>
          <w:rtl/>
        </w:rPr>
      </w:pPr>
      <w:r>
        <w:rPr>
          <w:rtl/>
        </w:rPr>
        <w:t>(2)</w:t>
      </w:r>
      <w:r>
        <w:rPr>
          <w:rFonts w:hint="cs"/>
          <w:rtl/>
        </w:rPr>
        <w:t xml:space="preserve"> </w:t>
      </w:r>
      <w:r>
        <w:rPr>
          <w:rFonts w:hint="eastAsia"/>
          <w:rtl/>
        </w:rPr>
        <w:t>נעדר</w:t>
      </w:r>
      <w:r>
        <w:rPr>
          <w:rtl/>
        </w:rPr>
        <w:t xml:space="preserve"> </w:t>
      </w:r>
      <w:r>
        <w:rPr>
          <w:rFonts w:hint="eastAsia"/>
          <w:rtl/>
        </w:rPr>
        <w:t>מארבע</w:t>
      </w:r>
      <w:r>
        <w:rPr>
          <w:rtl/>
        </w:rPr>
        <w:t xml:space="preserve"> </w:t>
      </w:r>
      <w:r>
        <w:rPr>
          <w:rFonts w:hint="eastAsia"/>
          <w:rtl/>
        </w:rPr>
        <w:t>ישיבות</w:t>
      </w:r>
      <w:r>
        <w:rPr>
          <w:rtl/>
        </w:rPr>
        <w:t xml:space="preserve"> </w:t>
      </w:r>
      <w:r>
        <w:rPr>
          <w:rFonts w:hint="eastAsia"/>
          <w:rtl/>
        </w:rPr>
        <w:t>רצופות</w:t>
      </w:r>
      <w:r>
        <w:rPr>
          <w:rtl/>
        </w:rPr>
        <w:t xml:space="preserve"> </w:t>
      </w:r>
      <w:r>
        <w:rPr>
          <w:rFonts w:hint="eastAsia"/>
          <w:rtl/>
        </w:rPr>
        <w:t>של</w:t>
      </w:r>
      <w:r>
        <w:rPr>
          <w:rtl/>
        </w:rPr>
        <w:t xml:space="preserve"> </w:t>
      </w:r>
      <w:r>
        <w:rPr>
          <w:rFonts w:hint="eastAsia"/>
          <w:rtl/>
        </w:rPr>
        <w:t>הדירקטוריון</w:t>
      </w:r>
      <w:r>
        <w:rPr>
          <w:rtl/>
        </w:rPr>
        <w:t xml:space="preserve"> </w:t>
      </w:r>
      <w:r>
        <w:rPr>
          <w:rFonts w:hint="eastAsia"/>
          <w:rtl/>
        </w:rPr>
        <w:t>או</w:t>
      </w:r>
      <w:r>
        <w:rPr>
          <w:rtl/>
        </w:rPr>
        <w:t xml:space="preserve"> </w:t>
      </w:r>
      <w:r>
        <w:rPr>
          <w:rFonts w:hint="eastAsia"/>
          <w:rtl/>
        </w:rPr>
        <w:t>משש</w:t>
      </w:r>
      <w:r>
        <w:rPr>
          <w:rtl/>
        </w:rPr>
        <w:t xml:space="preserve"> </w:t>
      </w:r>
      <w:r>
        <w:rPr>
          <w:rFonts w:hint="eastAsia"/>
          <w:rtl/>
        </w:rPr>
        <w:t>ישיבות</w:t>
      </w:r>
      <w:r>
        <w:rPr>
          <w:rtl/>
        </w:rPr>
        <w:t xml:space="preserve"> </w:t>
      </w:r>
      <w:r>
        <w:rPr>
          <w:rFonts w:hint="eastAsia"/>
          <w:rtl/>
        </w:rPr>
        <w:t>תוך</w:t>
      </w:r>
      <w:r>
        <w:rPr>
          <w:rtl/>
        </w:rPr>
        <w:t xml:space="preserve"> </w:t>
      </w:r>
      <w:r>
        <w:rPr>
          <w:rFonts w:hint="eastAsia"/>
          <w:rtl/>
        </w:rPr>
        <w:t>שנה</w:t>
      </w:r>
      <w:r>
        <w:rPr>
          <w:rtl/>
        </w:rPr>
        <w:t xml:space="preserve">, </w:t>
      </w:r>
      <w:r>
        <w:rPr>
          <w:rFonts w:hint="eastAsia"/>
          <w:rtl/>
        </w:rPr>
        <w:t>זולת</w:t>
      </w:r>
      <w:r>
        <w:rPr>
          <w:rtl/>
        </w:rPr>
        <w:t xml:space="preserve"> </w:t>
      </w:r>
      <w:r>
        <w:rPr>
          <w:rFonts w:hint="eastAsia"/>
          <w:rtl/>
        </w:rPr>
        <w:t>אם</w:t>
      </w:r>
      <w:r>
        <w:rPr>
          <w:rtl/>
        </w:rPr>
        <w:t xml:space="preserve"> </w:t>
      </w:r>
      <w:r>
        <w:rPr>
          <w:rFonts w:hint="eastAsia"/>
          <w:rtl/>
        </w:rPr>
        <w:t>השרים</w:t>
      </w:r>
      <w:r>
        <w:rPr>
          <w:rtl/>
        </w:rPr>
        <w:t xml:space="preserve">, </w:t>
      </w:r>
      <w:r>
        <w:rPr>
          <w:rFonts w:hint="eastAsia"/>
          <w:rtl/>
        </w:rPr>
        <w:t>לאחר</w:t>
      </w:r>
      <w:r>
        <w:rPr>
          <w:rtl/>
        </w:rPr>
        <w:t xml:space="preserve"> </w:t>
      </w:r>
      <w:r>
        <w:rPr>
          <w:rFonts w:hint="eastAsia"/>
          <w:rtl/>
        </w:rPr>
        <w:t>התייעצות</w:t>
      </w:r>
      <w:r>
        <w:rPr>
          <w:rtl/>
        </w:rPr>
        <w:t xml:space="preserve"> </w:t>
      </w:r>
      <w:r>
        <w:rPr>
          <w:rFonts w:hint="eastAsia"/>
          <w:rtl/>
        </w:rPr>
        <w:t>עם</w:t>
      </w:r>
      <w:r>
        <w:rPr>
          <w:rtl/>
        </w:rPr>
        <w:t xml:space="preserve"> </w:t>
      </w:r>
      <w:r>
        <w:rPr>
          <w:rFonts w:hint="eastAsia"/>
          <w:rtl/>
        </w:rPr>
        <w:t>הרשות</w:t>
      </w:r>
      <w:r>
        <w:rPr>
          <w:rtl/>
        </w:rPr>
        <w:t xml:space="preserve">, </w:t>
      </w:r>
      <w:r>
        <w:rPr>
          <w:rFonts w:hint="eastAsia"/>
          <w:rtl/>
        </w:rPr>
        <w:t>קבעו</w:t>
      </w:r>
      <w:r>
        <w:rPr>
          <w:rtl/>
        </w:rPr>
        <w:t xml:space="preserve">, </w:t>
      </w:r>
      <w:r>
        <w:rPr>
          <w:rFonts w:hint="eastAsia"/>
          <w:rtl/>
        </w:rPr>
        <w:t>בהודעה</w:t>
      </w:r>
      <w:r>
        <w:rPr>
          <w:rtl/>
        </w:rPr>
        <w:t xml:space="preserve"> </w:t>
      </w:r>
      <w:r>
        <w:rPr>
          <w:rFonts w:hint="eastAsia"/>
          <w:rtl/>
        </w:rPr>
        <w:t>לחברה</w:t>
      </w:r>
      <w:r>
        <w:rPr>
          <w:rtl/>
        </w:rPr>
        <w:t xml:space="preserve">, </w:t>
      </w:r>
      <w:proofErr w:type="spellStart"/>
      <w:r>
        <w:rPr>
          <w:rFonts w:hint="eastAsia"/>
          <w:rtl/>
        </w:rPr>
        <w:t>שהיתה</w:t>
      </w:r>
      <w:proofErr w:type="spellEnd"/>
      <w:r>
        <w:rPr>
          <w:rtl/>
        </w:rPr>
        <w:t xml:space="preserve"> </w:t>
      </w:r>
      <w:r>
        <w:rPr>
          <w:rFonts w:hint="eastAsia"/>
          <w:rtl/>
        </w:rPr>
        <w:t>סיבה</w:t>
      </w:r>
      <w:r>
        <w:rPr>
          <w:rtl/>
        </w:rPr>
        <w:t xml:space="preserve"> </w:t>
      </w:r>
      <w:r>
        <w:rPr>
          <w:rFonts w:hint="eastAsia"/>
          <w:rtl/>
        </w:rPr>
        <w:t>מוצדקת</w:t>
      </w:r>
      <w:r>
        <w:rPr>
          <w:rtl/>
        </w:rPr>
        <w:t xml:space="preserve"> </w:t>
      </w:r>
      <w:r>
        <w:rPr>
          <w:rFonts w:hint="eastAsia"/>
          <w:rtl/>
        </w:rPr>
        <w:t>להיעדרות</w:t>
      </w:r>
      <w:r>
        <w:rPr>
          <w:rtl/>
        </w:rPr>
        <w:t>;</w:t>
      </w:r>
    </w:p>
    <w:p w:rsidR="00282F22" w:rsidRDefault="00282F22" w:rsidP="00282F22">
      <w:pPr>
        <w:pStyle w:val="Ruller5"/>
        <w:rPr>
          <w:rtl/>
        </w:rPr>
      </w:pPr>
      <w:r>
        <w:rPr>
          <w:rtl/>
        </w:rPr>
        <w:t>(3)</w:t>
      </w:r>
      <w:r>
        <w:rPr>
          <w:rFonts w:hint="cs"/>
          <w:rtl/>
        </w:rPr>
        <w:t xml:space="preserve"> </w:t>
      </w:r>
      <w:r>
        <w:rPr>
          <w:rFonts w:hint="eastAsia"/>
          <w:rtl/>
        </w:rPr>
        <w:t>נבצר</w:t>
      </w:r>
      <w:r>
        <w:rPr>
          <w:rtl/>
        </w:rPr>
        <w:t xml:space="preserve"> </w:t>
      </w:r>
      <w:r>
        <w:rPr>
          <w:rFonts w:hint="eastAsia"/>
          <w:rtl/>
        </w:rPr>
        <w:t>ממנו</w:t>
      </w:r>
      <w:r>
        <w:rPr>
          <w:rtl/>
        </w:rPr>
        <w:t xml:space="preserve"> </w:t>
      </w:r>
      <w:r>
        <w:rPr>
          <w:rFonts w:hint="eastAsia"/>
          <w:rtl/>
        </w:rPr>
        <w:t>למלא</w:t>
      </w:r>
      <w:r>
        <w:rPr>
          <w:rtl/>
        </w:rPr>
        <w:t xml:space="preserve"> </w:t>
      </w:r>
      <w:r>
        <w:rPr>
          <w:rFonts w:hint="eastAsia"/>
          <w:rtl/>
        </w:rPr>
        <w:t>תפקידו</w:t>
      </w:r>
      <w:r>
        <w:rPr>
          <w:rtl/>
        </w:rPr>
        <w:t xml:space="preserve"> </w:t>
      </w:r>
      <w:r>
        <w:rPr>
          <w:rFonts w:hint="eastAsia"/>
          <w:rtl/>
        </w:rPr>
        <w:t>והשרים</w:t>
      </w:r>
      <w:r>
        <w:rPr>
          <w:rtl/>
        </w:rPr>
        <w:t xml:space="preserve">, </w:t>
      </w:r>
      <w:r>
        <w:rPr>
          <w:rFonts w:hint="eastAsia"/>
          <w:rtl/>
        </w:rPr>
        <w:t>לאחר</w:t>
      </w:r>
      <w:r>
        <w:rPr>
          <w:rtl/>
        </w:rPr>
        <w:t xml:space="preserve"> </w:t>
      </w:r>
      <w:r>
        <w:rPr>
          <w:rFonts w:hint="eastAsia"/>
          <w:rtl/>
        </w:rPr>
        <w:t>התייעצות</w:t>
      </w:r>
      <w:r>
        <w:rPr>
          <w:rtl/>
        </w:rPr>
        <w:t xml:space="preserve"> </w:t>
      </w:r>
      <w:r>
        <w:rPr>
          <w:rFonts w:hint="eastAsia"/>
          <w:rtl/>
        </w:rPr>
        <w:t>עם</w:t>
      </w:r>
      <w:r>
        <w:rPr>
          <w:rtl/>
        </w:rPr>
        <w:t xml:space="preserve"> </w:t>
      </w:r>
      <w:r>
        <w:rPr>
          <w:rFonts w:hint="eastAsia"/>
          <w:rtl/>
        </w:rPr>
        <w:t>הרשות</w:t>
      </w:r>
      <w:r>
        <w:rPr>
          <w:rtl/>
        </w:rPr>
        <w:t xml:space="preserve">, </w:t>
      </w:r>
      <w:r>
        <w:rPr>
          <w:rFonts w:hint="eastAsia"/>
          <w:rtl/>
        </w:rPr>
        <w:t>הודיעו</w:t>
      </w:r>
      <w:r>
        <w:rPr>
          <w:rtl/>
        </w:rPr>
        <w:t xml:space="preserve"> </w:t>
      </w:r>
      <w:r>
        <w:rPr>
          <w:rFonts w:hint="eastAsia"/>
          <w:rtl/>
        </w:rPr>
        <w:t>על</w:t>
      </w:r>
      <w:r>
        <w:rPr>
          <w:rtl/>
        </w:rPr>
        <w:t xml:space="preserve"> </w:t>
      </w:r>
      <w:r>
        <w:rPr>
          <w:rFonts w:hint="eastAsia"/>
          <w:rtl/>
        </w:rPr>
        <w:t>כך</w:t>
      </w:r>
      <w:r>
        <w:rPr>
          <w:rtl/>
        </w:rPr>
        <w:t xml:space="preserve"> </w:t>
      </w:r>
      <w:r>
        <w:rPr>
          <w:rFonts w:hint="eastAsia"/>
          <w:rtl/>
        </w:rPr>
        <w:t>לחברה</w:t>
      </w:r>
      <w:r>
        <w:rPr>
          <w:rtl/>
        </w:rPr>
        <w:t>;</w:t>
      </w:r>
    </w:p>
    <w:p w:rsidR="00282F22" w:rsidRDefault="00282F22" w:rsidP="00282F22">
      <w:pPr>
        <w:pStyle w:val="Ruller5"/>
        <w:rPr>
          <w:rtl/>
        </w:rPr>
      </w:pPr>
      <w:r>
        <w:rPr>
          <w:rtl/>
        </w:rPr>
        <w:t>(4)</w:t>
      </w:r>
      <w:r>
        <w:rPr>
          <w:rFonts w:hint="cs"/>
          <w:rtl/>
        </w:rPr>
        <w:t xml:space="preserve"> </w:t>
      </w:r>
      <w:r>
        <w:rPr>
          <w:rFonts w:hint="eastAsia"/>
          <w:rtl/>
        </w:rPr>
        <w:t>הורשע</w:t>
      </w:r>
      <w:r>
        <w:rPr>
          <w:rtl/>
        </w:rPr>
        <w:t xml:space="preserve"> </w:t>
      </w:r>
      <w:r>
        <w:rPr>
          <w:rFonts w:hint="eastAsia"/>
          <w:rtl/>
        </w:rPr>
        <w:t>בעבירה</w:t>
      </w:r>
      <w:r>
        <w:rPr>
          <w:rtl/>
        </w:rPr>
        <w:t xml:space="preserve"> </w:t>
      </w:r>
      <w:r>
        <w:rPr>
          <w:rFonts w:hint="eastAsia"/>
          <w:rtl/>
        </w:rPr>
        <w:t>שלדעת</w:t>
      </w:r>
      <w:r>
        <w:rPr>
          <w:rtl/>
        </w:rPr>
        <w:t xml:space="preserve"> </w:t>
      </w:r>
      <w:r>
        <w:rPr>
          <w:rFonts w:hint="eastAsia"/>
          <w:rtl/>
        </w:rPr>
        <w:t>היועץ</w:t>
      </w:r>
      <w:r>
        <w:rPr>
          <w:rtl/>
        </w:rPr>
        <w:t xml:space="preserve"> </w:t>
      </w:r>
      <w:r>
        <w:rPr>
          <w:rFonts w:hint="eastAsia"/>
          <w:rtl/>
        </w:rPr>
        <w:t>המשפטי</w:t>
      </w:r>
      <w:r>
        <w:rPr>
          <w:rtl/>
        </w:rPr>
        <w:t xml:space="preserve"> </w:t>
      </w:r>
      <w:r>
        <w:rPr>
          <w:rFonts w:hint="eastAsia"/>
          <w:rtl/>
        </w:rPr>
        <w:t>לממשלה</w:t>
      </w:r>
      <w:r>
        <w:rPr>
          <w:rtl/>
        </w:rPr>
        <w:t xml:space="preserve"> </w:t>
      </w:r>
      <w:r>
        <w:rPr>
          <w:rFonts w:hint="eastAsia"/>
          <w:rtl/>
        </w:rPr>
        <w:t>יש</w:t>
      </w:r>
      <w:r>
        <w:rPr>
          <w:rtl/>
        </w:rPr>
        <w:t xml:space="preserve"> </w:t>
      </w:r>
      <w:r>
        <w:rPr>
          <w:rFonts w:hint="eastAsia"/>
          <w:rtl/>
        </w:rPr>
        <w:t>עמה</w:t>
      </w:r>
      <w:r>
        <w:rPr>
          <w:rtl/>
        </w:rPr>
        <w:t xml:space="preserve"> </w:t>
      </w:r>
      <w:r>
        <w:rPr>
          <w:rFonts w:hint="eastAsia"/>
          <w:rtl/>
        </w:rPr>
        <w:t>קלון</w:t>
      </w:r>
      <w:r>
        <w:rPr>
          <w:rtl/>
        </w:rPr>
        <w:t xml:space="preserve"> </w:t>
      </w:r>
      <w:r>
        <w:rPr>
          <w:rFonts w:hint="eastAsia"/>
          <w:rtl/>
        </w:rPr>
        <w:t>או</w:t>
      </w:r>
      <w:r>
        <w:rPr>
          <w:rtl/>
        </w:rPr>
        <w:t xml:space="preserve"> </w:t>
      </w:r>
      <w:r>
        <w:rPr>
          <w:rFonts w:hint="eastAsia"/>
          <w:rtl/>
        </w:rPr>
        <w:t>היא</w:t>
      </w:r>
      <w:r>
        <w:rPr>
          <w:rtl/>
        </w:rPr>
        <w:t xml:space="preserve"> </w:t>
      </w:r>
      <w:r>
        <w:rPr>
          <w:rFonts w:hint="eastAsia"/>
          <w:rtl/>
        </w:rPr>
        <w:t>מחייבת</w:t>
      </w:r>
      <w:r>
        <w:rPr>
          <w:rtl/>
        </w:rPr>
        <w:t xml:space="preserve">, </w:t>
      </w:r>
      <w:r>
        <w:rPr>
          <w:rFonts w:hint="eastAsia"/>
          <w:rtl/>
        </w:rPr>
        <w:t>לדעתו</w:t>
      </w:r>
      <w:r>
        <w:rPr>
          <w:rtl/>
        </w:rPr>
        <w:t xml:space="preserve">, </w:t>
      </w:r>
      <w:r>
        <w:rPr>
          <w:rFonts w:hint="eastAsia"/>
          <w:rtl/>
        </w:rPr>
        <w:t>הפסקת</w:t>
      </w:r>
      <w:r>
        <w:rPr>
          <w:rtl/>
        </w:rPr>
        <w:t xml:space="preserve"> </w:t>
      </w:r>
      <w:r>
        <w:rPr>
          <w:rFonts w:hint="eastAsia"/>
          <w:rtl/>
        </w:rPr>
        <w:t>כהונתו</w:t>
      </w:r>
      <w:r>
        <w:rPr>
          <w:rtl/>
        </w:rPr>
        <w:t>;</w:t>
      </w:r>
    </w:p>
    <w:p w:rsidR="00282F22" w:rsidRDefault="00282F22" w:rsidP="00282F22">
      <w:pPr>
        <w:pStyle w:val="Ruller5"/>
        <w:rPr>
          <w:rtl/>
        </w:rPr>
      </w:pPr>
      <w:r>
        <w:rPr>
          <w:rtl/>
        </w:rPr>
        <w:t>(5)</w:t>
      </w:r>
      <w:r>
        <w:rPr>
          <w:rFonts w:hint="cs"/>
          <w:rtl/>
        </w:rPr>
        <w:t xml:space="preserve"> </w:t>
      </w:r>
      <w:r>
        <w:rPr>
          <w:rFonts w:hint="eastAsia"/>
          <w:rtl/>
        </w:rPr>
        <w:t>נתקיימה</w:t>
      </w:r>
      <w:r>
        <w:rPr>
          <w:rtl/>
        </w:rPr>
        <w:t xml:space="preserve"> </w:t>
      </w:r>
      <w:r>
        <w:rPr>
          <w:rFonts w:hint="eastAsia"/>
          <w:rtl/>
        </w:rPr>
        <w:t>בו</w:t>
      </w:r>
      <w:r>
        <w:rPr>
          <w:rtl/>
        </w:rPr>
        <w:t xml:space="preserve"> </w:t>
      </w:r>
      <w:r>
        <w:rPr>
          <w:rFonts w:hint="eastAsia"/>
          <w:rtl/>
        </w:rPr>
        <w:t>אחת</w:t>
      </w:r>
      <w:r>
        <w:rPr>
          <w:rtl/>
        </w:rPr>
        <w:t xml:space="preserve"> </w:t>
      </w:r>
      <w:r>
        <w:rPr>
          <w:rFonts w:hint="eastAsia"/>
          <w:rtl/>
        </w:rPr>
        <w:t>הנסיבות</w:t>
      </w:r>
      <w:r>
        <w:rPr>
          <w:rtl/>
        </w:rPr>
        <w:t xml:space="preserve"> </w:t>
      </w:r>
      <w:r>
        <w:rPr>
          <w:rFonts w:hint="eastAsia"/>
          <w:rtl/>
        </w:rPr>
        <w:t>הפוסלות</w:t>
      </w:r>
      <w:r>
        <w:rPr>
          <w:rtl/>
        </w:rPr>
        <w:t xml:space="preserve"> </w:t>
      </w:r>
      <w:r>
        <w:rPr>
          <w:rFonts w:hint="eastAsia"/>
          <w:rtl/>
        </w:rPr>
        <w:t>אדם</w:t>
      </w:r>
      <w:r>
        <w:rPr>
          <w:rtl/>
        </w:rPr>
        <w:t xml:space="preserve"> </w:t>
      </w:r>
      <w:r>
        <w:rPr>
          <w:rFonts w:hint="eastAsia"/>
          <w:rtl/>
        </w:rPr>
        <w:t>מהיות</w:t>
      </w:r>
      <w:r>
        <w:rPr>
          <w:rtl/>
        </w:rPr>
        <w:t xml:space="preserve"> </w:t>
      </w:r>
      <w:r>
        <w:rPr>
          <w:rFonts w:hint="eastAsia"/>
          <w:rtl/>
        </w:rPr>
        <w:t>דירקטור</w:t>
      </w:r>
      <w:r>
        <w:rPr>
          <w:rtl/>
        </w:rPr>
        <w:t>;</w:t>
      </w:r>
    </w:p>
    <w:p w:rsidR="00282F22" w:rsidRPr="009C239F" w:rsidRDefault="00282F22" w:rsidP="00282F22">
      <w:pPr>
        <w:pStyle w:val="Ruller5"/>
        <w:rPr>
          <w:rFonts w:ascii="Century" w:hAnsi="Century" w:cs="Miriam"/>
          <w:b/>
          <w:spacing w:val="0"/>
          <w:szCs w:val="24"/>
          <w:rtl/>
        </w:rPr>
      </w:pPr>
      <w:r w:rsidRPr="009C239F">
        <w:rPr>
          <w:rFonts w:ascii="Century" w:hAnsi="Century" w:cs="Miriam" w:hint="cs"/>
          <w:b/>
          <w:spacing w:val="0"/>
          <w:szCs w:val="24"/>
          <w:rtl/>
        </w:rPr>
        <w:t>(</w:t>
      </w:r>
      <w:r w:rsidRPr="009C239F">
        <w:rPr>
          <w:rFonts w:ascii="Century" w:hAnsi="Century" w:cs="Miriam"/>
          <w:b/>
          <w:spacing w:val="0"/>
          <w:szCs w:val="24"/>
          <w:rtl/>
        </w:rPr>
        <w:t>6)</w:t>
      </w:r>
      <w:r w:rsidRPr="009C239F">
        <w:rPr>
          <w:rFonts w:ascii="Century" w:hAnsi="Century" w:cs="Miriam" w:hint="cs"/>
          <w:b/>
          <w:spacing w:val="0"/>
          <w:szCs w:val="24"/>
          <w:rtl/>
        </w:rPr>
        <w:t xml:space="preserve"> </w:t>
      </w:r>
      <w:r w:rsidRPr="009C239F">
        <w:rPr>
          <w:rFonts w:ascii="Century" w:hAnsi="Century" w:cs="Miriam" w:hint="eastAsia"/>
          <w:b/>
          <w:spacing w:val="0"/>
          <w:szCs w:val="24"/>
          <w:rtl/>
        </w:rPr>
        <w:t>הרשות</w:t>
      </w:r>
      <w:r w:rsidRPr="009C239F">
        <w:rPr>
          <w:rFonts w:ascii="Century" w:hAnsi="Century" w:cs="Miriam"/>
          <w:b/>
          <w:spacing w:val="0"/>
          <w:szCs w:val="24"/>
          <w:rtl/>
        </w:rPr>
        <w:t xml:space="preserve">, </w:t>
      </w:r>
      <w:r w:rsidRPr="009C239F">
        <w:rPr>
          <w:rFonts w:ascii="Century" w:hAnsi="Century" w:cs="Miriam" w:hint="eastAsia"/>
          <w:b/>
          <w:spacing w:val="0"/>
          <w:szCs w:val="24"/>
          <w:rtl/>
        </w:rPr>
        <w:t>או</w:t>
      </w:r>
      <w:r w:rsidRPr="009C239F">
        <w:rPr>
          <w:rFonts w:ascii="Century" w:hAnsi="Century" w:cs="Miriam"/>
          <w:b/>
          <w:spacing w:val="0"/>
          <w:szCs w:val="24"/>
          <w:rtl/>
        </w:rPr>
        <w:t xml:space="preserve"> </w:t>
      </w:r>
      <w:r w:rsidRPr="009C239F">
        <w:rPr>
          <w:rFonts w:ascii="Century" w:hAnsi="Century" w:cs="Miriam" w:hint="eastAsia"/>
          <w:b/>
          <w:spacing w:val="0"/>
          <w:szCs w:val="24"/>
          <w:rtl/>
        </w:rPr>
        <w:t>השרים</w:t>
      </w:r>
      <w:r w:rsidRPr="009C239F">
        <w:rPr>
          <w:rFonts w:ascii="Century" w:hAnsi="Century" w:cs="Miriam"/>
          <w:b/>
          <w:spacing w:val="0"/>
          <w:szCs w:val="24"/>
          <w:rtl/>
        </w:rPr>
        <w:t xml:space="preserve"> </w:t>
      </w:r>
      <w:r w:rsidRPr="009C239F">
        <w:rPr>
          <w:rFonts w:ascii="Century" w:hAnsi="Century" w:cs="Miriam" w:hint="eastAsia"/>
          <w:b/>
          <w:spacing w:val="0"/>
          <w:szCs w:val="24"/>
          <w:rtl/>
        </w:rPr>
        <w:t>לאחר</w:t>
      </w:r>
      <w:r w:rsidRPr="009C239F">
        <w:rPr>
          <w:rFonts w:ascii="Century" w:hAnsi="Century" w:cs="Miriam"/>
          <w:b/>
          <w:spacing w:val="0"/>
          <w:szCs w:val="24"/>
          <w:rtl/>
        </w:rPr>
        <w:t xml:space="preserve"> </w:t>
      </w:r>
      <w:r w:rsidRPr="009C239F">
        <w:rPr>
          <w:rFonts w:ascii="Century" w:hAnsi="Century" w:cs="Miriam" w:hint="eastAsia"/>
          <w:b/>
          <w:spacing w:val="0"/>
          <w:szCs w:val="24"/>
          <w:rtl/>
        </w:rPr>
        <w:t>התייעצות</w:t>
      </w:r>
      <w:r w:rsidRPr="009C239F">
        <w:rPr>
          <w:rFonts w:ascii="Century" w:hAnsi="Century" w:cs="Miriam"/>
          <w:b/>
          <w:spacing w:val="0"/>
          <w:szCs w:val="24"/>
          <w:rtl/>
        </w:rPr>
        <w:t xml:space="preserve"> </w:t>
      </w:r>
      <w:r w:rsidRPr="009C239F">
        <w:rPr>
          <w:rFonts w:ascii="Century" w:hAnsi="Century" w:cs="Miriam" w:hint="eastAsia"/>
          <w:b/>
          <w:spacing w:val="0"/>
          <w:szCs w:val="24"/>
          <w:rtl/>
        </w:rPr>
        <w:t>עם</w:t>
      </w:r>
      <w:r w:rsidRPr="009C239F">
        <w:rPr>
          <w:rFonts w:ascii="Century" w:hAnsi="Century" w:cs="Miriam"/>
          <w:b/>
          <w:spacing w:val="0"/>
          <w:szCs w:val="24"/>
          <w:rtl/>
        </w:rPr>
        <w:t xml:space="preserve"> </w:t>
      </w:r>
      <w:r w:rsidRPr="009C239F">
        <w:rPr>
          <w:rFonts w:ascii="Century" w:hAnsi="Century" w:cs="Miriam" w:hint="eastAsia"/>
          <w:b/>
          <w:spacing w:val="0"/>
          <w:szCs w:val="24"/>
          <w:rtl/>
        </w:rPr>
        <w:t>הרשות</w:t>
      </w:r>
      <w:r w:rsidRPr="009C239F">
        <w:rPr>
          <w:rFonts w:ascii="Century" w:hAnsi="Century" w:cs="Miriam"/>
          <w:b/>
          <w:spacing w:val="0"/>
          <w:szCs w:val="24"/>
          <w:rtl/>
        </w:rPr>
        <w:t xml:space="preserve">, </w:t>
      </w:r>
      <w:r w:rsidRPr="009C239F">
        <w:rPr>
          <w:rFonts w:ascii="Century" w:hAnsi="Century" w:cs="Miriam" w:hint="eastAsia"/>
          <w:b/>
          <w:spacing w:val="0"/>
          <w:szCs w:val="24"/>
          <w:rtl/>
        </w:rPr>
        <w:t>ראו</w:t>
      </w:r>
      <w:r w:rsidRPr="009C239F">
        <w:rPr>
          <w:rFonts w:ascii="Century" w:hAnsi="Century" w:cs="Miriam"/>
          <w:b/>
          <w:spacing w:val="0"/>
          <w:szCs w:val="24"/>
          <w:rtl/>
        </w:rPr>
        <w:t xml:space="preserve">, </w:t>
      </w:r>
      <w:r w:rsidRPr="009C239F">
        <w:rPr>
          <w:rFonts w:ascii="Century" w:hAnsi="Century" w:cs="Miriam" w:hint="eastAsia"/>
          <w:b/>
          <w:spacing w:val="0"/>
          <w:szCs w:val="24"/>
          <w:rtl/>
        </w:rPr>
        <w:t>שאינו</w:t>
      </w:r>
      <w:r w:rsidRPr="009C239F">
        <w:rPr>
          <w:rFonts w:ascii="Century" w:hAnsi="Century" w:cs="Miriam"/>
          <w:b/>
          <w:spacing w:val="0"/>
          <w:szCs w:val="24"/>
          <w:rtl/>
        </w:rPr>
        <w:t xml:space="preserve"> </w:t>
      </w:r>
      <w:r w:rsidRPr="009C239F">
        <w:rPr>
          <w:rFonts w:ascii="Century" w:hAnsi="Century" w:cs="Miriam" w:hint="eastAsia"/>
          <w:b/>
          <w:spacing w:val="0"/>
          <w:szCs w:val="24"/>
          <w:rtl/>
        </w:rPr>
        <w:t>ממלא</w:t>
      </w:r>
      <w:r w:rsidRPr="009C239F">
        <w:rPr>
          <w:rFonts w:ascii="Century" w:hAnsi="Century" w:cs="Miriam"/>
          <w:b/>
          <w:spacing w:val="0"/>
          <w:szCs w:val="24"/>
          <w:rtl/>
        </w:rPr>
        <w:t xml:space="preserve"> </w:t>
      </w:r>
      <w:r w:rsidRPr="009C239F">
        <w:rPr>
          <w:rFonts w:ascii="Century" w:hAnsi="Century" w:cs="Miriam" w:hint="eastAsia"/>
          <w:b/>
          <w:spacing w:val="0"/>
          <w:szCs w:val="24"/>
          <w:rtl/>
        </w:rPr>
        <w:t>תפקידו</w:t>
      </w:r>
      <w:r w:rsidRPr="009C239F">
        <w:rPr>
          <w:rFonts w:ascii="Century" w:hAnsi="Century" w:cs="Miriam"/>
          <w:b/>
          <w:spacing w:val="0"/>
          <w:szCs w:val="24"/>
          <w:rtl/>
        </w:rPr>
        <w:t xml:space="preserve"> </w:t>
      </w:r>
      <w:r w:rsidRPr="009C239F">
        <w:rPr>
          <w:rFonts w:ascii="Century" w:hAnsi="Century" w:cs="Miriam" w:hint="eastAsia"/>
          <w:b/>
          <w:spacing w:val="0"/>
          <w:szCs w:val="24"/>
          <w:rtl/>
        </w:rPr>
        <w:t>כראוי</w:t>
      </w:r>
      <w:r w:rsidRPr="009C239F">
        <w:rPr>
          <w:rFonts w:ascii="Century" w:hAnsi="Century" w:cs="Miriam"/>
          <w:b/>
          <w:spacing w:val="0"/>
          <w:szCs w:val="24"/>
          <w:rtl/>
        </w:rPr>
        <w:t xml:space="preserve"> </w:t>
      </w:r>
      <w:r w:rsidRPr="009C239F">
        <w:rPr>
          <w:rFonts w:ascii="Century" w:hAnsi="Century" w:cs="Miriam" w:hint="eastAsia"/>
          <w:b/>
          <w:spacing w:val="0"/>
          <w:szCs w:val="24"/>
          <w:rtl/>
        </w:rPr>
        <w:t>והעבירו</w:t>
      </w:r>
      <w:r w:rsidRPr="009C239F">
        <w:rPr>
          <w:rFonts w:ascii="Century" w:hAnsi="Century" w:cs="Miriam"/>
          <w:b/>
          <w:spacing w:val="0"/>
          <w:szCs w:val="24"/>
          <w:rtl/>
        </w:rPr>
        <w:t xml:space="preserve"> </w:t>
      </w:r>
      <w:r w:rsidRPr="009C239F">
        <w:rPr>
          <w:rFonts w:ascii="Century" w:hAnsi="Century" w:cs="Miriam" w:hint="eastAsia"/>
          <w:b/>
          <w:spacing w:val="0"/>
          <w:szCs w:val="24"/>
          <w:rtl/>
        </w:rPr>
        <w:t>אותו</w:t>
      </w:r>
      <w:r w:rsidRPr="009C239F">
        <w:rPr>
          <w:rFonts w:ascii="Century" w:hAnsi="Century" w:cs="Miriam"/>
          <w:b/>
          <w:spacing w:val="0"/>
          <w:szCs w:val="24"/>
          <w:rtl/>
        </w:rPr>
        <w:t xml:space="preserve">, </w:t>
      </w:r>
      <w:r w:rsidRPr="009C239F">
        <w:rPr>
          <w:rFonts w:ascii="Century" w:hAnsi="Century" w:cs="Miriam" w:hint="eastAsia"/>
          <w:b/>
          <w:spacing w:val="0"/>
          <w:szCs w:val="24"/>
          <w:rtl/>
        </w:rPr>
        <w:t>בהודעה</w:t>
      </w:r>
      <w:r w:rsidRPr="009C239F">
        <w:rPr>
          <w:rFonts w:ascii="Century" w:hAnsi="Century" w:cs="Miriam"/>
          <w:b/>
          <w:spacing w:val="0"/>
          <w:szCs w:val="24"/>
          <w:rtl/>
        </w:rPr>
        <w:t xml:space="preserve"> </w:t>
      </w:r>
      <w:r w:rsidRPr="009C239F">
        <w:rPr>
          <w:rFonts w:ascii="Century" w:hAnsi="Century" w:cs="Miriam" w:hint="eastAsia"/>
          <w:b/>
          <w:spacing w:val="0"/>
          <w:szCs w:val="24"/>
          <w:rtl/>
        </w:rPr>
        <w:t>לחברה</w:t>
      </w:r>
      <w:r w:rsidRPr="009C239F">
        <w:rPr>
          <w:rFonts w:ascii="Century" w:hAnsi="Century" w:cs="Miriam"/>
          <w:b/>
          <w:spacing w:val="0"/>
          <w:szCs w:val="24"/>
          <w:rtl/>
        </w:rPr>
        <w:t xml:space="preserve">, </w:t>
      </w:r>
      <w:r w:rsidRPr="009C239F">
        <w:rPr>
          <w:rFonts w:ascii="Century" w:hAnsi="Century" w:cs="Miriam" w:hint="eastAsia"/>
          <w:b/>
          <w:spacing w:val="0"/>
          <w:szCs w:val="24"/>
          <w:rtl/>
        </w:rPr>
        <w:t>מכהונתו</w:t>
      </w:r>
      <w:r w:rsidRPr="009C239F">
        <w:rPr>
          <w:rFonts w:ascii="Century" w:hAnsi="Century" w:cs="Miriam"/>
          <w:b/>
          <w:spacing w:val="0"/>
          <w:szCs w:val="24"/>
          <w:rtl/>
        </w:rPr>
        <w:t>.</w:t>
      </w:r>
    </w:p>
    <w:p w:rsidR="00282F22" w:rsidRPr="00B66CDA" w:rsidRDefault="00282F22" w:rsidP="00282F22">
      <w:pPr>
        <w:pStyle w:val="Ruller5"/>
        <w:rPr>
          <w:rtl/>
        </w:rPr>
      </w:pPr>
      <w:r>
        <w:rPr>
          <w:rtl/>
        </w:rPr>
        <w:t>(7)</w:t>
      </w:r>
      <w:r>
        <w:rPr>
          <w:rFonts w:hint="cs"/>
          <w:rtl/>
        </w:rPr>
        <w:t xml:space="preserve"> </w:t>
      </w:r>
      <w:r>
        <w:rPr>
          <w:rFonts w:hint="eastAsia"/>
          <w:rtl/>
        </w:rPr>
        <w:t>הרשות</w:t>
      </w:r>
      <w:r>
        <w:rPr>
          <w:rtl/>
        </w:rPr>
        <w:t xml:space="preserve"> </w:t>
      </w:r>
      <w:r>
        <w:rPr>
          <w:rFonts w:hint="eastAsia"/>
          <w:rtl/>
        </w:rPr>
        <w:t>קבעה</w:t>
      </w:r>
      <w:r>
        <w:rPr>
          <w:rtl/>
        </w:rPr>
        <w:t xml:space="preserve"> </w:t>
      </w:r>
      <w:r>
        <w:rPr>
          <w:rFonts w:hint="eastAsia"/>
          <w:rtl/>
        </w:rPr>
        <w:t>כי</w:t>
      </w:r>
      <w:r>
        <w:rPr>
          <w:rtl/>
        </w:rPr>
        <w:t xml:space="preserve"> </w:t>
      </w:r>
      <w:r>
        <w:rPr>
          <w:rFonts w:hint="eastAsia"/>
          <w:rtl/>
        </w:rPr>
        <w:t>הוא</w:t>
      </w:r>
      <w:r>
        <w:rPr>
          <w:rtl/>
        </w:rPr>
        <w:t xml:space="preserve"> </w:t>
      </w:r>
      <w:r>
        <w:rPr>
          <w:rFonts w:hint="eastAsia"/>
          <w:rtl/>
        </w:rPr>
        <w:t>אינו</w:t>
      </w:r>
      <w:r>
        <w:rPr>
          <w:rtl/>
        </w:rPr>
        <w:t xml:space="preserve"> </w:t>
      </w:r>
      <w:r>
        <w:rPr>
          <w:rFonts w:hint="eastAsia"/>
          <w:rtl/>
        </w:rPr>
        <w:t>ממלא</w:t>
      </w:r>
      <w:r>
        <w:rPr>
          <w:rtl/>
        </w:rPr>
        <w:t xml:space="preserve"> </w:t>
      </w:r>
      <w:r>
        <w:rPr>
          <w:rFonts w:hint="eastAsia"/>
          <w:rtl/>
        </w:rPr>
        <w:t>את</w:t>
      </w:r>
      <w:r>
        <w:rPr>
          <w:rtl/>
        </w:rPr>
        <w:t xml:space="preserve"> </w:t>
      </w:r>
      <w:r>
        <w:rPr>
          <w:rFonts w:hint="eastAsia"/>
          <w:rtl/>
        </w:rPr>
        <w:t>תפקידו</w:t>
      </w:r>
      <w:r>
        <w:rPr>
          <w:rtl/>
        </w:rPr>
        <w:t xml:space="preserve"> </w:t>
      </w:r>
      <w:r>
        <w:rPr>
          <w:rFonts w:hint="eastAsia"/>
          <w:rtl/>
        </w:rPr>
        <w:t>באופן</w:t>
      </w:r>
      <w:r>
        <w:rPr>
          <w:rtl/>
        </w:rPr>
        <w:t xml:space="preserve"> </w:t>
      </w:r>
      <w:r>
        <w:rPr>
          <w:rFonts w:hint="eastAsia"/>
          <w:rtl/>
        </w:rPr>
        <w:t>המקדם</w:t>
      </w:r>
      <w:r>
        <w:rPr>
          <w:rtl/>
        </w:rPr>
        <w:t xml:space="preserve"> </w:t>
      </w:r>
      <w:r>
        <w:rPr>
          <w:rFonts w:hint="eastAsia"/>
          <w:rtl/>
        </w:rPr>
        <w:t>את</w:t>
      </w:r>
      <w:r>
        <w:rPr>
          <w:rtl/>
        </w:rPr>
        <w:t xml:space="preserve"> </w:t>
      </w:r>
      <w:r>
        <w:rPr>
          <w:rFonts w:hint="eastAsia"/>
          <w:rtl/>
        </w:rPr>
        <w:t>ביצועה</w:t>
      </w:r>
      <w:r>
        <w:rPr>
          <w:rtl/>
        </w:rPr>
        <w:t xml:space="preserve"> </w:t>
      </w:r>
      <w:r>
        <w:rPr>
          <w:rFonts w:hint="eastAsia"/>
          <w:rtl/>
        </w:rPr>
        <w:t>של</w:t>
      </w:r>
      <w:r>
        <w:rPr>
          <w:rtl/>
        </w:rPr>
        <w:t xml:space="preserve"> </w:t>
      </w:r>
      <w:r>
        <w:rPr>
          <w:rFonts w:hint="eastAsia"/>
          <w:rtl/>
        </w:rPr>
        <w:t>החלטת</w:t>
      </w:r>
      <w:r>
        <w:rPr>
          <w:rtl/>
        </w:rPr>
        <w:t xml:space="preserve"> </w:t>
      </w:r>
      <w:r>
        <w:rPr>
          <w:rFonts w:hint="eastAsia"/>
          <w:rtl/>
        </w:rPr>
        <w:t>הפרטה</w:t>
      </w:r>
      <w:r>
        <w:rPr>
          <w:rtl/>
        </w:rPr>
        <w:t xml:space="preserve">, </w:t>
      </w:r>
      <w:r>
        <w:rPr>
          <w:rFonts w:hint="eastAsia"/>
          <w:rtl/>
        </w:rPr>
        <w:t>או</w:t>
      </w:r>
      <w:r>
        <w:rPr>
          <w:rtl/>
        </w:rPr>
        <w:t xml:space="preserve"> </w:t>
      </w:r>
      <w:r>
        <w:rPr>
          <w:rFonts w:hint="eastAsia"/>
          <w:rtl/>
        </w:rPr>
        <w:t>פעל</w:t>
      </w:r>
      <w:r>
        <w:rPr>
          <w:rtl/>
        </w:rPr>
        <w:t xml:space="preserve"> </w:t>
      </w:r>
      <w:r>
        <w:rPr>
          <w:rFonts w:hint="eastAsia"/>
          <w:rtl/>
        </w:rPr>
        <w:t>במעשה</w:t>
      </w:r>
      <w:r>
        <w:rPr>
          <w:rtl/>
        </w:rPr>
        <w:t xml:space="preserve"> </w:t>
      </w:r>
      <w:r>
        <w:rPr>
          <w:rFonts w:hint="eastAsia"/>
          <w:rtl/>
        </w:rPr>
        <w:t>או</w:t>
      </w:r>
      <w:r>
        <w:rPr>
          <w:rtl/>
        </w:rPr>
        <w:t xml:space="preserve"> </w:t>
      </w:r>
      <w:r>
        <w:rPr>
          <w:rFonts w:hint="eastAsia"/>
          <w:rtl/>
        </w:rPr>
        <w:t>במחדל</w:t>
      </w:r>
      <w:r>
        <w:rPr>
          <w:rtl/>
        </w:rPr>
        <w:t xml:space="preserve"> </w:t>
      </w:r>
      <w:r>
        <w:rPr>
          <w:rFonts w:hint="eastAsia"/>
          <w:rtl/>
        </w:rPr>
        <w:t>בדרך</w:t>
      </w:r>
      <w:r>
        <w:rPr>
          <w:rtl/>
        </w:rPr>
        <w:t xml:space="preserve"> </w:t>
      </w:r>
      <w:r>
        <w:rPr>
          <w:rFonts w:hint="eastAsia"/>
          <w:rtl/>
        </w:rPr>
        <w:t>הפוגעת</w:t>
      </w:r>
      <w:r>
        <w:rPr>
          <w:rtl/>
        </w:rPr>
        <w:t xml:space="preserve"> </w:t>
      </w:r>
      <w:r>
        <w:rPr>
          <w:rFonts w:hint="eastAsia"/>
          <w:rtl/>
        </w:rPr>
        <w:t>ביכולת</w:t>
      </w:r>
      <w:r>
        <w:rPr>
          <w:rtl/>
        </w:rPr>
        <w:t xml:space="preserve"> </w:t>
      </w:r>
      <w:r>
        <w:rPr>
          <w:rFonts w:hint="eastAsia"/>
          <w:rtl/>
        </w:rPr>
        <w:t>החברה</w:t>
      </w:r>
      <w:r>
        <w:rPr>
          <w:rtl/>
        </w:rPr>
        <w:t xml:space="preserve"> </w:t>
      </w:r>
      <w:r>
        <w:rPr>
          <w:rFonts w:hint="eastAsia"/>
          <w:rtl/>
        </w:rPr>
        <w:t>לקיים</w:t>
      </w:r>
      <w:r>
        <w:rPr>
          <w:rtl/>
        </w:rPr>
        <w:t xml:space="preserve"> </w:t>
      </w:r>
      <w:r>
        <w:rPr>
          <w:rFonts w:hint="eastAsia"/>
          <w:rtl/>
        </w:rPr>
        <w:t>הוראה</w:t>
      </w:r>
      <w:r>
        <w:rPr>
          <w:rtl/>
        </w:rPr>
        <w:t xml:space="preserve"> </w:t>
      </w:r>
      <w:r>
        <w:rPr>
          <w:rFonts w:hint="eastAsia"/>
          <w:rtl/>
        </w:rPr>
        <w:lastRenderedPageBreak/>
        <w:t>או</w:t>
      </w:r>
      <w:r>
        <w:rPr>
          <w:rtl/>
        </w:rPr>
        <w:t xml:space="preserve"> </w:t>
      </w:r>
      <w:r>
        <w:rPr>
          <w:rFonts w:hint="eastAsia"/>
          <w:rtl/>
        </w:rPr>
        <w:t>דרישה</w:t>
      </w:r>
      <w:r>
        <w:rPr>
          <w:rtl/>
        </w:rPr>
        <w:t xml:space="preserve"> </w:t>
      </w:r>
      <w:r>
        <w:rPr>
          <w:rFonts w:hint="eastAsia"/>
          <w:rtl/>
        </w:rPr>
        <w:t>שניתנו</w:t>
      </w:r>
      <w:r>
        <w:rPr>
          <w:rtl/>
        </w:rPr>
        <w:t xml:space="preserve"> </w:t>
      </w:r>
      <w:r>
        <w:rPr>
          <w:rFonts w:hint="eastAsia"/>
          <w:rtl/>
        </w:rPr>
        <w:t>כדין</w:t>
      </w:r>
      <w:r>
        <w:rPr>
          <w:rtl/>
        </w:rPr>
        <w:t xml:space="preserve"> </w:t>
      </w:r>
      <w:r>
        <w:rPr>
          <w:rFonts w:hint="eastAsia"/>
          <w:rtl/>
        </w:rPr>
        <w:t>לפי</w:t>
      </w:r>
      <w:r>
        <w:rPr>
          <w:rtl/>
        </w:rPr>
        <w:t xml:space="preserve"> </w:t>
      </w:r>
      <w:r>
        <w:rPr>
          <w:rFonts w:hint="eastAsia"/>
          <w:rtl/>
        </w:rPr>
        <w:t>סעיפים</w:t>
      </w:r>
      <w:r>
        <w:rPr>
          <w:rtl/>
        </w:rPr>
        <w:t xml:space="preserve"> 59</w:t>
      </w:r>
      <w:r>
        <w:rPr>
          <w:rFonts w:hint="eastAsia"/>
          <w:rtl/>
        </w:rPr>
        <w:t>ד</w:t>
      </w:r>
      <w:r>
        <w:rPr>
          <w:rtl/>
        </w:rPr>
        <w:t xml:space="preserve"> </w:t>
      </w:r>
      <w:r>
        <w:rPr>
          <w:rFonts w:hint="eastAsia"/>
          <w:rtl/>
        </w:rPr>
        <w:t>או</w:t>
      </w:r>
      <w:r>
        <w:rPr>
          <w:rtl/>
        </w:rPr>
        <w:t xml:space="preserve"> 59</w:t>
      </w:r>
      <w:r>
        <w:rPr>
          <w:rFonts w:hint="eastAsia"/>
          <w:rtl/>
        </w:rPr>
        <w:t>ה</w:t>
      </w:r>
      <w:r>
        <w:rPr>
          <w:rtl/>
        </w:rPr>
        <w:t xml:space="preserve">; </w:t>
      </w:r>
      <w:r>
        <w:rPr>
          <w:rFonts w:hint="eastAsia"/>
          <w:rtl/>
        </w:rPr>
        <w:t>הרשות</w:t>
      </w:r>
      <w:r>
        <w:rPr>
          <w:rtl/>
        </w:rPr>
        <w:t xml:space="preserve"> </w:t>
      </w:r>
      <w:r>
        <w:rPr>
          <w:rFonts w:hint="eastAsia"/>
          <w:rtl/>
        </w:rPr>
        <w:t>תודיע</w:t>
      </w:r>
      <w:r>
        <w:rPr>
          <w:rtl/>
        </w:rPr>
        <w:t xml:space="preserve"> </w:t>
      </w:r>
      <w:r>
        <w:rPr>
          <w:rFonts w:hint="eastAsia"/>
          <w:rtl/>
        </w:rPr>
        <w:t>על</w:t>
      </w:r>
      <w:r>
        <w:rPr>
          <w:rtl/>
        </w:rPr>
        <w:t xml:space="preserve"> </w:t>
      </w:r>
      <w:r>
        <w:rPr>
          <w:rFonts w:hint="eastAsia"/>
          <w:rtl/>
        </w:rPr>
        <w:t>כך</w:t>
      </w:r>
      <w:r>
        <w:rPr>
          <w:rtl/>
        </w:rPr>
        <w:t xml:space="preserve"> </w:t>
      </w:r>
      <w:r>
        <w:rPr>
          <w:rFonts w:hint="eastAsia"/>
          <w:rtl/>
        </w:rPr>
        <w:t>לשר</w:t>
      </w:r>
      <w:r>
        <w:rPr>
          <w:rtl/>
        </w:rPr>
        <w:t xml:space="preserve"> </w:t>
      </w:r>
      <w:r>
        <w:rPr>
          <w:rFonts w:hint="eastAsia"/>
          <w:rtl/>
        </w:rPr>
        <w:t>האוצר</w:t>
      </w:r>
      <w:r>
        <w:rPr>
          <w:rtl/>
        </w:rPr>
        <w:t xml:space="preserve"> </w:t>
      </w:r>
      <w:r>
        <w:rPr>
          <w:rFonts w:hint="eastAsia"/>
          <w:rtl/>
        </w:rPr>
        <w:t>ולחברה</w:t>
      </w:r>
      <w:r>
        <w:rPr>
          <w:rtl/>
        </w:rPr>
        <w:t>.</w:t>
      </w:r>
    </w:p>
    <w:p w:rsidR="00282F22" w:rsidRDefault="00282F22" w:rsidP="00282F22">
      <w:pPr>
        <w:pStyle w:val="Ruller41"/>
        <w:rPr>
          <w:rtl/>
        </w:rPr>
      </w:pPr>
    </w:p>
    <w:p w:rsidR="00282F22" w:rsidRDefault="00282F22" w:rsidP="00282F22">
      <w:pPr>
        <w:pStyle w:val="Ruller4"/>
        <w:numPr>
          <w:ilvl w:val="0"/>
          <w:numId w:val="0"/>
        </w:numPr>
        <w:rPr>
          <w:rtl/>
        </w:rPr>
      </w:pPr>
      <w:r>
        <w:rPr>
          <w:rtl/>
        </w:rPr>
        <w:tab/>
      </w:r>
      <w:r w:rsidRPr="00EF3C9C">
        <w:rPr>
          <w:rFonts w:hint="cs"/>
          <w:rtl/>
        </w:rPr>
        <w:t>העברת דירקטור מתפקידו מוגבלת אפוא למצבים המפורטים בחוק, וביניהם לפי סעיף 22(א)(6) נמנה מצב שבו הדירקטור "אינו ממלא את תפקידו כראוי".</w:t>
      </w:r>
      <w:r>
        <w:rPr>
          <w:rFonts w:hint="cs"/>
          <w:rtl/>
        </w:rPr>
        <w:t xml:space="preserve"> היא </w:t>
      </w:r>
      <w:r w:rsidRPr="00EF3C9C">
        <w:rPr>
          <w:rFonts w:hint="cs"/>
          <w:rtl/>
        </w:rPr>
        <w:t>אינה יכולה</w:t>
      </w:r>
      <w:r w:rsidRPr="000C71EE">
        <w:rPr>
          <w:rFonts w:hint="cs"/>
          <w:rtl/>
        </w:rPr>
        <w:t xml:space="preserve"> </w:t>
      </w:r>
      <w:r>
        <w:rPr>
          <w:rFonts w:hint="cs"/>
          <w:rtl/>
        </w:rPr>
        <w:t xml:space="preserve">להיעשות לפי רצון השרים או הרשות, מבלי להתבסס על אחת מהעילות המפורטות בדין. </w:t>
      </w:r>
    </w:p>
    <w:p w:rsidR="00282F22" w:rsidRDefault="00282F22" w:rsidP="00282F22">
      <w:pPr>
        <w:pStyle w:val="Ruller41"/>
        <w:rPr>
          <w:rtl/>
        </w:rPr>
      </w:pPr>
    </w:p>
    <w:p w:rsidR="00282F22" w:rsidRDefault="00282F22" w:rsidP="00282F22">
      <w:pPr>
        <w:pStyle w:val="Ruller4"/>
      </w:pPr>
      <w:r>
        <w:rPr>
          <w:rFonts w:hint="cs"/>
          <w:rtl/>
        </w:rPr>
        <w:t xml:space="preserve">קביעת רשימה המפרטת עילות קונקרטיות שבהתקיימותן ניתן להעביר דירקטור מתפקידו, מתכתבת עם החשש מפגיעה </w:t>
      </w:r>
      <w:r w:rsidRPr="00A657ED">
        <w:rPr>
          <w:rFonts w:hint="eastAsia"/>
          <w:rtl/>
        </w:rPr>
        <w:t>בשיקול</w:t>
      </w:r>
      <w:r w:rsidRPr="00A657ED">
        <w:rPr>
          <w:rtl/>
        </w:rPr>
        <w:t xml:space="preserve"> </w:t>
      </w:r>
      <w:r w:rsidRPr="00A657ED">
        <w:rPr>
          <w:rFonts w:hint="eastAsia"/>
          <w:rtl/>
        </w:rPr>
        <w:t>דעתם</w:t>
      </w:r>
      <w:r w:rsidRPr="00A657ED">
        <w:rPr>
          <w:rtl/>
        </w:rPr>
        <w:t xml:space="preserve"> </w:t>
      </w:r>
      <w:r w:rsidRPr="00A657ED">
        <w:rPr>
          <w:rFonts w:hint="eastAsia"/>
          <w:rtl/>
        </w:rPr>
        <w:t>העצמאי</w:t>
      </w:r>
      <w:r w:rsidRPr="00A657ED">
        <w:rPr>
          <w:rtl/>
        </w:rPr>
        <w:t xml:space="preserve"> </w:t>
      </w:r>
      <w:r w:rsidRPr="00A657ED">
        <w:rPr>
          <w:rFonts w:hint="eastAsia"/>
          <w:rtl/>
        </w:rPr>
        <w:t>של</w:t>
      </w:r>
      <w:r w:rsidRPr="00A657ED">
        <w:rPr>
          <w:rtl/>
        </w:rPr>
        <w:t xml:space="preserve"> </w:t>
      </w:r>
      <w:r w:rsidRPr="00A657ED">
        <w:rPr>
          <w:rFonts w:hint="eastAsia"/>
          <w:rtl/>
        </w:rPr>
        <w:t>דירקטורים</w:t>
      </w:r>
      <w:r>
        <w:rPr>
          <w:rFonts w:hint="cs"/>
          <w:rtl/>
        </w:rPr>
        <w:t xml:space="preserve">. החשש מפני פגיעה מעין זו בא לידי ביטוי בשורה של מנגנונים שונים שנקבעו בדין, החל משלב המינוי, המשך בהוראות לעניין תפקודם וכלה בהליך העברתם מתפקידם. </w:t>
      </w:r>
    </w:p>
    <w:p w:rsidR="00282F22" w:rsidRDefault="00282F22" w:rsidP="00282F22">
      <w:pPr>
        <w:pStyle w:val="Ruller4"/>
        <w:numPr>
          <w:ilvl w:val="0"/>
          <w:numId w:val="0"/>
        </w:numPr>
      </w:pPr>
    </w:p>
    <w:p w:rsidR="00282F22" w:rsidRDefault="00282F22" w:rsidP="00282F22">
      <w:pPr>
        <w:pStyle w:val="Ruller4"/>
        <w:rPr>
          <w:rtl/>
        </w:rPr>
      </w:pPr>
      <w:r>
        <w:rPr>
          <w:rFonts w:hint="cs"/>
          <w:rtl/>
        </w:rPr>
        <w:t xml:space="preserve">במישור </w:t>
      </w:r>
      <w:r w:rsidRPr="00EF3C9C">
        <w:rPr>
          <w:rFonts w:ascii="Century" w:hAnsi="Century" w:cs="Miriam" w:hint="cs"/>
          <w:b/>
          <w:spacing w:val="0"/>
          <w:szCs w:val="24"/>
          <w:rtl/>
        </w:rPr>
        <w:t xml:space="preserve">מינוי </w:t>
      </w:r>
      <w:r>
        <w:rPr>
          <w:rFonts w:hint="cs"/>
          <w:rtl/>
        </w:rPr>
        <w:t xml:space="preserve">דירקטורים, הדבר מתבטא למשל במסגרת </w:t>
      </w:r>
      <w:r w:rsidRPr="00EF3C9C">
        <w:rPr>
          <w:rFonts w:hint="cs"/>
          <w:sz w:val="28"/>
          <w:rtl/>
        </w:rPr>
        <w:t>חוק החברות הממשלתיות (תיקון מס' 6)</w:t>
      </w:r>
      <w:r>
        <w:rPr>
          <w:rFonts w:hint="cs"/>
          <w:sz w:val="28"/>
          <w:rtl/>
        </w:rPr>
        <w:t xml:space="preserve"> </w:t>
      </w:r>
      <w:r w:rsidRPr="00EF3C9C">
        <w:rPr>
          <w:rFonts w:hint="cs"/>
          <w:sz w:val="28"/>
          <w:rtl/>
        </w:rPr>
        <w:t xml:space="preserve">(מינויים), התשנ"ג-1993, בו </w:t>
      </w:r>
      <w:r>
        <w:rPr>
          <w:rFonts w:hint="cs"/>
          <w:rtl/>
        </w:rPr>
        <w:t xml:space="preserve">נקבעו הוראות שונות שנועדו </w:t>
      </w:r>
      <w:r w:rsidRPr="00FB1ACD">
        <w:rPr>
          <w:rFonts w:hint="eastAsia"/>
          <w:rtl/>
        </w:rPr>
        <w:t>להבטח</w:t>
      </w:r>
      <w:r>
        <w:rPr>
          <w:rFonts w:hint="cs"/>
          <w:rtl/>
        </w:rPr>
        <w:t>ת</w:t>
      </w:r>
      <w:r w:rsidRPr="00FB1ACD">
        <w:rPr>
          <w:rtl/>
        </w:rPr>
        <w:t xml:space="preserve"> </w:t>
      </w:r>
      <w:r w:rsidRPr="00FB1ACD">
        <w:rPr>
          <w:rFonts w:hint="eastAsia"/>
          <w:rtl/>
        </w:rPr>
        <w:t>קיומו</w:t>
      </w:r>
      <w:r w:rsidRPr="00FB1ACD">
        <w:rPr>
          <w:rtl/>
        </w:rPr>
        <w:t xml:space="preserve"> </w:t>
      </w:r>
      <w:r w:rsidRPr="00FB1ACD">
        <w:rPr>
          <w:rFonts w:hint="eastAsia"/>
          <w:rtl/>
        </w:rPr>
        <w:t>של</w:t>
      </w:r>
      <w:r w:rsidRPr="00FB1ACD">
        <w:rPr>
          <w:rtl/>
        </w:rPr>
        <w:t xml:space="preserve"> </w:t>
      </w:r>
      <w:r w:rsidRPr="00FB1ACD">
        <w:rPr>
          <w:rFonts w:hint="eastAsia"/>
          <w:rtl/>
        </w:rPr>
        <w:t>הליך</w:t>
      </w:r>
      <w:r w:rsidRPr="00FB1ACD">
        <w:rPr>
          <w:rtl/>
        </w:rPr>
        <w:t xml:space="preserve"> </w:t>
      </w:r>
      <w:r w:rsidRPr="00FB1ACD">
        <w:rPr>
          <w:rFonts w:hint="eastAsia"/>
          <w:rtl/>
        </w:rPr>
        <w:t>מינוי</w:t>
      </w:r>
      <w:r w:rsidRPr="00FB1ACD">
        <w:rPr>
          <w:rtl/>
        </w:rPr>
        <w:t xml:space="preserve"> </w:t>
      </w:r>
      <w:r w:rsidRPr="00FB1ACD">
        <w:rPr>
          <w:rFonts w:hint="eastAsia"/>
          <w:rtl/>
        </w:rPr>
        <w:t>תקין</w:t>
      </w:r>
      <w:r w:rsidRPr="00FB1ACD">
        <w:rPr>
          <w:rtl/>
        </w:rPr>
        <w:t xml:space="preserve"> </w:t>
      </w:r>
      <w:r w:rsidRPr="00FB1ACD">
        <w:rPr>
          <w:rFonts w:hint="eastAsia"/>
          <w:rtl/>
        </w:rPr>
        <w:t>של</w:t>
      </w:r>
      <w:r w:rsidRPr="00FB1ACD">
        <w:rPr>
          <w:rtl/>
        </w:rPr>
        <w:t xml:space="preserve"> </w:t>
      </w:r>
      <w:r w:rsidRPr="00FB1ACD">
        <w:rPr>
          <w:rFonts w:hint="eastAsia"/>
          <w:rtl/>
        </w:rPr>
        <w:t>דירקטורים</w:t>
      </w:r>
      <w:r>
        <w:rPr>
          <w:rFonts w:hint="cs"/>
          <w:rtl/>
        </w:rPr>
        <w:t xml:space="preserve"> </w:t>
      </w:r>
      <w:r w:rsidRPr="00FB1ACD">
        <w:rPr>
          <w:rFonts w:hint="eastAsia"/>
          <w:rtl/>
        </w:rPr>
        <w:t>אשר</w:t>
      </w:r>
      <w:r w:rsidRPr="00FB1ACD">
        <w:rPr>
          <w:rtl/>
        </w:rPr>
        <w:t xml:space="preserve"> </w:t>
      </w:r>
      <w:r w:rsidRPr="00FB1ACD">
        <w:rPr>
          <w:rFonts w:hint="eastAsia"/>
          <w:rtl/>
        </w:rPr>
        <w:t>יהיה</w:t>
      </w:r>
      <w:r w:rsidRPr="00FB1ACD">
        <w:rPr>
          <w:rtl/>
        </w:rPr>
        <w:t xml:space="preserve"> </w:t>
      </w:r>
      <w:r w:rsidRPr="00FB1ACD">
        <w:rPr>
          <w:rFonts w:hint="eastAsia"/>
          <w:rtl/>
        </w:rPr>
        <w:t>מבוסס</w:t>
      </w:r>
      <w:r w:rsidRPr="00FB1ACD">
        <w:rPr>
          <w:rtl/>
        </w:rPr>
        <w:t xml:space="preserve"> </w:t>
      </w:r>
      <w:r w:rsidRPr="00FB1ACD">
        <w:rPr>
          <w:rFonts w:hint="eastAsia"/>
          <w:rtl/>
        </w:rPr>
        <w:t>על</w:t>
      </w:r>
      <w:r w:rsidRPr="00FB1ACD">
        <w:rPr>
          <w:rtl/>
        </w:rPr>
        <w:t xml:space="preserve"> </w:t>
      </w:r>
      <w:r w:rsidRPr="00FB1ACD">
        <w:rPr>
          <w:rFonts w:hint="eastAsia"/>
          <w:rtl/>
        </w:rPr>
        <w:t>שיקולים</w:t>
      </w:r>
      <w:r w:rsidRPr="00FB1ACD">
        <w:rPr>
          <w:rtl/>
        </w:rPr>
        <w:t xml:space="preserve"> </w:t>
      </w:r>
      <w:r w:rsidRPr="00FB1ACD">
        <w:rPr>
          <w:rFonts w:hint="eastAsia"/>
          <w:rtl/>
        </w:rPr>
        <w:t>ענייניים</w:t>
      </w:r>
      <w:r w:rsidRPr="00FB1ACD">
        <w:rPr>
          <w:rtl/>
        </w:rPr>
        <w:t xml:space="preserve"> </w:t>
      </w:r>
      <w:r w:rsidRPr="00FB1ACD">
        <w:rPr>
          <w:rFonts w:hint="eastAsia"/>
          <w:rtl/>
        </w:rPr>
        <w:t>הקשורים</w:t>
      </w:r>
      <w:r w:rsidRPr="00FB1ACD">
        <w:rPr>
          <w:rtl/>
        </w:rPr>
        <w:t xml:space="preserve"> </w:t>
      </w:r>
      <w:r w:rsidRPr="00FB1ACD">
        <w:rPr>
          <w:rFonts w:hint="eastAsia"/>
          <w:rtl/>
        </w:rPr>
        <w:t>בקידום</w:t>
      </w:r>
      <w:r w:rsidRPr="00FB1ACD">
        <w:rPr>
          <w:rtl/>
        </w:rPr>
        <w:t xml:space="preserve"> </w:t>
      </w:r>
      <w:r w:rsidRPr="00FB1ACD">
        <w:rPr>
          <w:rFonts w:hint="eastAsia"/>
          <w:rtl/>
        </w:rPr>
        <w:t>טובתה</w:t>
      </w:r>
      <w:r w:rsidRPr="00FB1ACD">
        <w:rPr>
          <w:rtl/>
        </w:rPr>
        <w:t xml:space="preserve"> </w:t>
      </w:r>
      <w:r w:rsidRPr="00FB1ACD">
        <w:rPr>
          <w:rFonts w:hint="eastAsia"/>
          <w:rtl/>
        </w:rPr>
        <w:t>של</w:t>
      </w:r>
      <w:r w:rsidRPr="00FB1ACD">
        <w:rPr>
          <w:rtl/>
        </w:rPr>
        <w:t xml:space="preserve"> </w:t>
      </w:r>
      <w:r w:rsidRPr="00FB1ACD">
        <w:rPr>
          <w:rFonts w:hint="eastAsia"/>
          <w:rtl/>
        </w:rPr>
        <w:t>החברה</w:t>
      </w:r>
      <w:r>
        <w:rPr>
          <w:rFonts w:hint="cs"/>
          <w:rtl/>
        </w:rPr>
        <w:t xml:space="preserve">. בתוך כך נקבעו תנאי כשירות לכהונת דירקטור בחברה ממשלתית (סעיף 16א לחוק) והוסדרה פעילותה של הוועדה לבדיקת מינויים, ועדה חיצונית מקצועית במהותה אשר נועדה לבדוק את כשירותם והתאמתם של מועמדים לכהונה (סעיף 18ב לחוק; ראו עוד בהקשר זה: </w:t>
      </w:r>
      <w:proofErr w:type="spellStart"/>
      <w:r w:rsidRPr="003042DB">
        <w:rPr>
          <w:rFonts w:hint="eastAsia"/>
          <w:rtl/>
        </w:rPr>
        <w:t>עע</w:t>
      </w:r>
      <w:r w:rsidRPr="003042DB">
        <w:rPr>
          <w:rtl/>
        </w:rPr>
        <w:t>"</w:t>
      </w:r>
      <w:r w:rsidRPr="003042DB">
        <w:rPr>
          <w:rFonts w:hint="eastAsia"/>
          <w:rtl/>
        </w:rPr>
        <w:t>ם</w:t>
      </w:r>
      <w:proofErr w:type="spellEnd"/>
      <w:r>
        <w:rPr>
          <w:rFonts w:hint="cs"/>
          <w:rtl/>
        </w:rPr>
        <w:t xml:space="preserve"> </w:t>
      </w:r>
      <w:r w:rsidRPr="003042DB">
        <w:rPr>
          <w:rtl/>
        </w:rPr>
        <w:t xml:space="preserve">9341/05 </w:t>
      </w:r>
      <w:r w:rsidRPr="00EF3C9C">
        <w:rPr>
          <w:rFonts w:ascii="Century" w:hAnsi="Century" w:cs="Miriam" w:hint="eastAsia"/>
          <w:b/>
          <w:spacing w:val="0"/>
          <w:szCs w:val="24"/>
          <w:rtl/>
        </w:rPr>
        <w:t>התנועה</w:t>
      </w:r>
      <w:r w:rsidRPr="00EF3C9C">
        <w:rPr>
          <w:rFonts w:ascii="Century" w:hAnsi="Century" w:cs="Miriam"/>
          <w:b/>
          <w:spacing w:val="0"/>
          <w:szCs w:val="24"/>
          <w:rtl/>
        </w:rPr>
        <w:t xml:space="preserve"> </w:t>
      </w:r>
      <w:r w:rsidRPr="00EF3C9C">
        <w:rPr>
          <w:rFonts w:ascii="Century" w:hAnsi="Century" w:cs="Miriam" w:hint="eastAsia"/>
          <w:b/>
          <w:spacing w:val="0"/>
          <w:szCs w:val="24"/>
          <w:rtl/>
        </w:rPr>
        <w:t>לחופש</w:t>
      </w:r>
      <w:r w:rsidRPr="00EF3C9C">
        <w:rPr>
          <w:rFonts w:ascii="Century" w:hAnsi="Century" w:cs="Miriam"/>
          <w:b/>
          <w:spacing w:val="0"/>
          <w:szCs w:val="24"/>
          <w:rtl/>
        </w:rPr>
        <w:t xml:space="preserve"> </w:t>
      </w:r>
      <w:r w:rsidRPr="00EF3C9C">
        <w:rPr>
          <w:rFonts w:ascii="Century" w:hAnsi="Century" w:cs="Miriam" w:hint="eastAsia"/>
          <w:b/>
          <w:spacing w:val="0"/>
          <w:szCs w:val="24"/>
          <w:rtl/>
        </w:rPr>
        <w:t>המידע</w:t>
      </w:r>
      <w:r w:rsidRPr="00EF3C9C">
        <w:rPr>
          <w:rFonts w:ascii="Century" w:hAnsi="Century" w:cs="Miriam"/>
          <w:b/>
          <w:spacing w:val="0"/>
          <w:szCs w:val="24"/>
          <w:rtl/>
        </w:rPr>
        <w:t xml:space="preserve"> </w:t>
      </w:r>
      <w:r w:rsidRPr="00EF3C9C">
        <w:rPr>
          <w:rFonts w:ascii="Century" w:hAnsi="Century" w:cs="Miriam" w:hint="eastAsia"/>
          <w:b/>
          <w:spacing w:val="0"/>
          <w:szCs w:val="24"/>
          <w:rtl/>
        </w:rPr>
        <w:t>נ</w:t>
      </w:r>
      <w:r w:rsidRPr="00EF3C9C">
        <w:rPr>
          <w:rFonts w:ascii="Century" w:hAnsi="Century" w:cs="Miriam"/>
          <w:b/>
          <w:spacing w:val="0"/>
          <w:szCs w:val="24"/>
          <w:rtl/>
        </w:rPr>
        <w:t xml:space="preserve">' </w:t>
      </w:r>
      <w:r w:rsidRPr="00EF3C9C">
        <w:rPr>
          <w:rFonts w:ascii="Century" w:hAnsi="Century" w:cs="Miriam" w:hint="eastAsia"/>
          <w:b/>
          <w:spacing w:val="0"/>
          <w:szCs w:val="24"/>
          <w:rtl/>
        </w:rPr>
        <w:t>רשות</w:t>
      </w:r>
      <w:r w:rsidRPr="00EF3C9C">
        <w:rPr>
          <w:rFonts w:ascii="Century" w:hAnsi="Century" w:cs="Miriam"/>
          <w:b/>
          <w:spacing w:val="0"/>
          <w:szCs w:val="24"/>
          <w:rtl/>
        </w:rPr>
        <w:t xml:space="preserve"> </w:t>
      </w:r>
      <w:r w:rsidRPr="00EF3C9C">
        <w:rPr>
          <w:rFonts w:ascii="Century" w:hAnsi="Century" w:cs="Miriam" w:hint="eastAsia"/>
          <w:b/>
          <w:spacing w:val="0"/>
          <w:szCs w:val="24"/>
          <w:rtl/>
        </w:rPr>
        <w:t>החברות</w:t>
      </w:r>
      <w:r w:rsidRPr="00EF3C9C">
        <w:rPr>
          <w:rFonts w:ascii="Century" w:hAnsi="Century" w:cs="Miriam"/>
          <w:b/>
          <w:spacing w:val="0"/>
          <w:szCs w:val="24"/>
          <w:rtl/>
        </w:rPr>
        <w:t xml:space="preserve"> </w:t>
      </w:r>
      <w:r w:rsidRPr="00EF3C9C">
        <w:rPr>
          <w:rFonts w:ascii="Century" w:hAnsi="Century" w:cs="Miriam" w:hint="eastAsia"/>
          <w:b/>
          <w:spacing w:val="0"/>
          <w:szCs w:val="24"/>
          <w:rtl/>
        </w:rPr>
        <w:t>הממשלתיו</w:t>
      </w:r>
      <w:r w:rsidRPr="00EF3C9C">
        <w:rPr>
          <w:rFonts w:ascii="Century" w:hAnsi="Century" w:cs="Miriam" w:hint="cs"/>
          <w:b/>
          <w:spacing w:val="0"/>
          <w:szCs w:val="24"/>
          <w:rtl/>
        </w:rPr>
        <w:t>ת</w:t>
      </w:r>
      <w:r w:rsidRPr="00EF3C9C">
        <w:rPr>
          <w:rFonts w:ascii="Century" w:hAnsi="Century" w:hint="cs"/>
          <w:rtl/>
        </w:rPr>
        <w:t>,</w:t>
      </w:r>
      <w:r w:rsidRPr="00EF3C9C">
        <w:rPr>
          <w:rFonts w:ascii="Century" w:hAnsi="Century" w:cs="Miriam" w:hint="cs"/>
          <w:b/>
          <w:spacing w:val="0"/>
          <w:szCs w:val="24"/>
          <w:rtl/>
        </w:rPr>
        <w:t xml:space="preserve"> </w:t>
      </w:r>
      <w:r>
        <w:rPr>
          <w:rFonts w:hint="cs"/>
          <w:rtl/>
        </w:rPr>
        <w:t xml:space="preserve">פסקאות 12-11 (19.5.2009) (להלן: עניין </w:t>
      </w:r>
      <w:r w:rsidRPr="00EF3C9C">
        <w:rPr>
          <w:rFonts w:ascii="Century" w:hAnsi="Century" w:cs="Miriam" w:hint="cs"/>
          <w:b/>
          <w:spacing w:val="0"/>
          <w:szCs w:val="24"/>
          <w:rtl/>
        </w:rPr>
        <w:t>התנועה לחופש המידע</w:t>
      </w:r>
      <w:r>
        <w:rPr>
          <w:rFonts w:hint="cs"/>
          <w:rtl/>
        </w:rPr>
        <w:t xml:space="preserve">); </w:t>
      </w:r>
      <w:r w:rsidRPr="001C5D73">
        <w:rPr>
          <w:rFonts w:hint="eastAsia"/>
          <w:rtl/>
        </w:rPr>
        <w:t>בג</w:t>
      </w:r>
      <w:r w:rsidRPr="001C5D73">
        <w:rPr>
          <w:rtl/>
        </w:rPr>
        <w:t>"</w:t>
      </w:r>
      <w:r w:rsidRPr="001C5D73">
        <w:rPr>
          <w:rFonts w:hint="eastAsia"/>
          <w:rtl/>
        </w:rPr>
        <w:t>ץ</w:t>
      </w:r>
      <w:r w:rsidRPr="001C5D73">
        <w:rPr>
          <w:rtl/>
        </w:rPr>
        <w:t xml:space="preserve"> 6777/98 </w:t>
      </w:r>
      <w:r w:rsidRPr="00EF3C9C">
        <w:rPr>
          <w:rFonts w:ascii="Century" w:hAnsi="Century" w:cs="Miriam" w:hint="eastAsia"/>
          <w:b/>
          <w:spacing w:val="0"/>
          <w:szCs w:val="24"/>
          <w:rtl/>
        </w:rPr>
        <w:t>רוזנברג</w:t>
      </w:r>
      <w:r w:rsidRPr="00EF3C9C">
        <w:rPr>
          <w:rFonts w:ascii="Century" w:hAnsi="Century" w:cs="Miriam"/>
          <w:b/>
          <w:spacing w:val="0"/>
          <w:szCs w:val="24"/>
          <w:rtl/>
        </w:rPr>
        <w:t xml:space="preserve"> </w:t>
      </w:r>
      <w:r w:rsidRPr="00EF3C9C">
        <w:rPr>
          <w:rFonts w:ascii="Century" w:hAnsi="Century" w:cs="Miriam" w:hint="eastAsia"/>
          <w:b/>
          <w:spacing w:val="0"/>
          <w:szCs w:val="24"/>
          <w:rtl/>
        </w:rPr>
        <w:t>נ</w:t>
      </w:r>
      <w:r w:rsidRPr="00EF3C9C">
        <w:rPr>
          <w:rFonts w:ascii="Century" w:hAnsi="Century" w:cs="Miriam"/>
          <w:b/>
          <w:spacing w:val="0"/>
          <w:szCs w:val="24"/>
          <w:rtl/>
        </w:rPr>
        <w:t xml:space="preserve">' </w:t>
      </w:r>
      <w:r w:rsidRPr="00EF3C9C">
        <w:rPr>
          <w:rFonts w:ascii="Century" w:hAnsi="Century" w:cs="Miriam" w:hint="eastAsia"/>
          <w:b/>
          <w:spacing w:val="0"/>
          <w:szCs w:val="24"/>
          <w:rtl/>
        </w:rPr>
        <w:t>הוועדה</w:t>
      </w:r>
      <w:r w:rsidRPr="00EF3C9C">
        <w:rPr>
          <w:rFonts w:ascii="Century" w:hAnsi="Century" w:cs="Miriam"/>
          <w:b/>
          <w:spacing w:val="0"/>
          <w:szCs w:val="24"/>
          <w:rtl/>
        </w:rPr>
        <w:t xml:space="preserve"> </w:t>
      </w:r>
      <w:r w:rsidRPr="00EF3C9C">
        <w:rPr>
          <w:rFonts w:ascii="Century" w:hAnsi="Century" w:cs="Miriam" w:hint="eastAsia"/>
          <w:b/>
          <w:spacing w:val="0"/>
          <w:szCs w:val="24"/>
          <w:rtl/>
        </w:rPr>
        <w:t>לבדיקת</w:t>
      </w:r>
      <w:r w:rsidRPr="00EF3C9C">
        <w:rPr>
          <w:rFonts w:ascii="Century" w:hAnsi="Century" w:cs="Miriam"/>
          <w:b/>
          <w:spacing w:val="0"/>
          <w:szCs w:val="24"/>
          <w:rtl/>
        </w:rPr>
        <w:t xml:space="preserve"> </w:t>
      </w:r>
      <w:r w:rsidRPr="00EF3C9C">
        <w:rPr>
          <w:rFonts w:ascii="Century" w:hAnsi="Century" w:cs="Miriam" w:hint="eastAsia"/>
          <w:b/>
          <w:spacing w:val="0"/>
          <w:szCs w:val="24"/>
          <w:rtl/>
        </w:rPr>
        <w:t>מינויים</w:t>
      </w:r>
      <w:r w:rsidRPr="00EF3C9C">
        <w:rPr>
          <w:rFonts w:ascii="Century" w:hAnsi="Century" w:cs="Miriam"/>
          <w:b/>
          <w:spacing w:val="0"/>
          <w:szCs w:val="24"/>
          <w:rtl/>
        </w:rPr>
        <w:t xml:space="preserve"> </w:t>
      </w:r>
      <w:r w:rsidRPr="00EF3C9C">
        <w:rPr>
          <w:rFonts w:ascii="Century" w:hAnsi="Century" w:cs="Miriam" w:hint="eastAsia"/>
          <w:b/>
          <w:spacing w:val="0"/>
          <w:szCs w:val="24"/>
          <w:rtl/>
        </w:rPr>
        <w:t>על</w:t>
      </w:r>
      <w:r w:rsidRPr="00EF3C9C">
        <w:rPr>
          <w:rFonts w:ascii="Century" w:hAnsi="Century" w:cs="Miriam"/>
          <w:b/>
          <w:spacing w:val="0"/>
          <w:szCs w:val="24"/>
          <w:rtl/>
        </w:rPr>
        <w:t>-</w:t>
      </w:r>
      <w:r w:rsidRPr="00EF3C9C">
        <w:rPr>
          <w:rFonts w:ascii="Century" w:hAnsi="Century" w:cs="Miriam" w:hint="eastAsia"/>
          <w:b/>
          <w:spacing w:val="0"/>
          <w:szCs w:val="24"/>
          <w:rtl/>
        </w:rPr>
        <w:t>פי</w:t>
      </w:r>
      <w:r w:rsidRPr="00EF3C9C">
        <w:rPr>
          <w:rFonts w:ascii="Century" w:hAnsi="Century" w:cs="Miriam"/>
          <w:b/>
          <w:spacing w:val="0"/>
          <w:szCs w:val="24"/>
          <w:rtl/>
        </w:rPr>
        <w:t xml:space="preserve"> </w:t>
      </w:r>
      <w:r w:rsidRPr="00EF3C9C">
        <w:rPr>
          <w:rFonts w:ascii="Century" w:hAnsi="Century" w:cs="Miriam" w:hint="eastAsia"/>
          <w:b/>
          <w:spacing w:val="0"/>
          <w:szCs w:val="24"/>
          <w:rtl/>
        </w:rPr>
        <w:t>חוק</w:t>
      </w:r>
      <w:r w:rsidRPr="00EF3C9C">
        <w:rPr>
          <w:rFonts w:ascii="Century" w:hAnsi="Century" w:cs="Miriam"/>
          <w:b/>
          <w:spacing w:val="0"/>
          <w:szCs w:val="24"/>
          <w:rtl/>
        </w:rPr>
        <w:t xml:space="preserve"> </w:t>
      </w:r>
      <w:r w:rsidRPr="00EF3C9C">
        <w:rPr>
          <w:rFonts w:ascii="Century" w:hAnsi="Century" w:cs="Miriam" w:hint="eastAsia"/>
          <w:b/>
          <w:spacing w:val="0"/>
          <w:szCs w:val="24"/>
          <w:rtl/>
        </w:rPr>
        <w:t>החברות</w:t>
      </w:r>
      <w:r w:rsidRPr="00EF3C9C">
        <w:rPr>
          <w:rFonts w:ascii="Century" w:hAnsi="Century" w:cs="Miriam"/>
          <w:b/>
          <w:spacing w:val="0"/>
          <w:szCs w:val="24"/>
          <w:rtl/>
        </w:rPr>
        <w:t xml:space="preserve"> </w:t>
      </w:r>
      <w:r w:rsidRPr="00EF3C9C">
        <w:rPr>
          <w:rFonts w:ascii="Century" w:hAnsi="Century" w:cs="Miriam" w:hint="eastAsia"/>
          <w:b/>
          <w:spacing w:val="0"/>
          <w:szCs w:val="24"/>
          <w:rtl/>
        </w:rPr>
        <w:t>הממשלתיות</w:t>
      </w:r>
      <w:r w:rsidRPr="00EF3C9C">
        <w:rPr>
          <w:rFonts w:ascii="Century" w:hAnsi="Century" w:cs="Miriam"/>
          <w:b/>
          <w:spacing w:val="0"/>
          <w:szCs w:val="24"/>
          <w:rtl/>
        </w:rPr>
        <w:t xml:space="preserve">, </w:t>
      </w:r>
      <w:r w:rsidRPr="00EF3C9C">
        <w:rPr>
          <w:rFonts w:ascii="Century" w:hAnsi="Century" w:cs="Miriam" w:hint="eastAsia"/>
          <w:b/>
          <w:spacing w:val="0"/>
          <w:szCs w:val="24"/>
          <w:rtl/>
        </w:rPr>
        <w:t>תשל</w:t>
      </w:r>
      <w:r w:rsidRPr="00EF3C9C">
        <w:rPr>
          <w:rFonts w:ascii="Century" w:hAnsi="Century" w:cs="Miriam"/>
          <w:b/>
          <w:spacing w:val="0"/>
          <w:szCs w:val="24"/>
          <w:rtl/>
        </w:rPr>
        <w:t>"</w:t>
      </w:r>
      <w:r w:rsidRPr="00EF3C9C">
        <w:rPr>
          <w:rFonts w:ascii="Century" w:hAnsi="Century" w:cs="Miriam" w:hint="eastAsia"/>
          <w:b/>
          <w:spacing w:val="0"/>
          <w:szCs w:val="24"/>
          <w:rtl/>
        </w:rPr>
        <w:t>ה</w:t>
      </w:r>
      <w:r w:rsidRPr="00EF3C9C">
        <w:rPr>
          <w:rFonts w:ascii="Century" w:hAnsi="Century" w:cs="Miriam"/>
          <w:b/>
          <w:spacing w:val="0"/>
          <w:szCs w:val="24"/>
          <w:rtl/>
        </w:rPr>
        <w:t>-1975</w:t>
      </w:r>
      <w:r w:rsidRPr="001C5D73">
        <w:rPr>
          <w:rtl/>
        </w:rPr>
        <w:t xml:space="preserve">, </w:t>
      </w:r>
      <w:r w:rsidRPr="001C5D73">
        <w:rPr>
          <w:rFonts w:hint="eastAsia"/>
          <w:rtl/>
        </w:rPr>
        <w:t>פ</w:t>
      </w:r>
      <w:r w:rsidRPr="001C5D73">
        <w:rPr>
          <w:rtl/>
        </w:rPr>
        <w:t>"</w:t>
      </w:r>
      <w:r w:rsidRPr="001C5D73">
        <w:rPr>
          <w:rFonts w:hint="eastAsia"/>
          <w:rtl/>
        </w:rPr>
        <w:t>ד</w:t>
      </w:r>
      <w:r w:rsidRPr="001C5D73">
        <w:rPr>
          <w:rtl/>
        </w:rPr>
        <w:t xml:space="preserve"> </w:t>
      </w:r>
      <w:r w:rsidRPr="001C5D73">
        <w:rPr>
          <w:rFonts w:hint="eastAsia"/>
          <w:rtl/>
        </w:rPr>
        <w:t>נב</w:t>
      </w:r>
      <w:r>
        <w:rPr>
          <w:rtl/>
        </w:rPr>
        <w:t>(5) 721, 736 (1998)</w:t>
      </w:r>
      <w:r>
        <w:rPr>
          <w:rFonts w:hint="cs"/>
          <w:rtl/>
        </w:rPr>
        <w:t xml:space="preserve">). הסדרתה של ועדה זו נועדה </w:t>
      </w:r>
      <w:r w:rsidRPr="00CB6EDA">
        <w:rPr>
          <w:rFonts w:hint="eastAsia"/>
          <w:rtl/>
        </w:rPr>
        <w:t>להבטיח</w:t>
      </w:r>
      <w:r w:rsidRPr="00CB6EDA">
        <w:rPr>
          <w:rtl/>
        </w:rPr>
        <w:t xml:space="preserve"> </w:t>
      </w:r>
      <w:r w:rsidRPr="00CB6EDA">
        <w:rPr>
          <w:rFonts w:hint="eastAsia"/>
          <w:rtl/>
        </w:rPr>
        <w:t>איוש</w:t>
      </w:r>
      <w:r w:rsidRPr="00CB6EDA">
        <w:rPr>
          <w:rtl/>
        </w:rPr>
        <w:t xml:space="preserve"> </w:t>
      </w:r>
      <w:r w:rsidRPr="00CB6EDA">
        <w:rPr>
          <w:rFonts w:hint="eastAsia"/>
          <w:rtl/>
        </w:rPr>
        <w:t>מיטבי</w:t>
      </w:r>
      <w:r w:rsidRPr="00CB6EDA">
        <w:rPr>
          <w:rtl/>
        </w:rPr>
        <w:t xml:space="preserve"> </w:t>
      </w:r>
      <w:r w:rsidRPr="00CB6EDA">
        <w:rPr>
          <w:rFonts w:hint="eastAsia"/>
          <w:rtl/>
        </w:rPr>
        <w:t>של</w:t>
      </w:r>
      <w:r w:rsidRPr="00CB6EDA">
        <w:rPr>
          <w:rtl/>
        </w:rPr>
        <w:t xml:space="preserve"> </w:t>
      </w:r>
      <w:r w:rsidRPr="00CB6EDA">
        <w:rPr>
          <w:rFonts w:hint="eastAsia"/>
          <w:rtl/>
        </w:rPr>
        <w:t>דירקטוריונים</w:t>
      </w:r>
      <w:r w:rsidRPr="00CB6EDA">
        <w:rPr>
          <w:rtl/>
        </w:rPr>
        <w:t xml:space="preserve"> </w:t>
      </w:r>
      <w:r w:rsidRPr="00CB6EDA">
        <w:rPr>
          <w:rFonts w:hint="eastAsia"/>
          <w:rtl/>
        </w:rPr>
        <w:t>בחברות</w:t>
      </w:r>
      <w:r w:rsidRPr="00CB6EDA">
        <w:rPr>
          <w:rtl/>
        </w:rPr>
        <w:t xml:space="preserve"> </w:t>
      </w:r>
      <w:r w:rsidRPr="00CB6EDA">
        <w:rPr>
          <w:rFonts w:hint="eastAsia"/>
          <w:rtl/>
        </w:rPr>
        <w:t>ממשלתיות</w:t>
      </w:r>
      <w:r w:rsidRPr="00CB6EDA">
        <w:rPr>
          <w:rtl/>
        </w:rPr>
        <w:t xml:space="preserve"> </w:t>
      </w:r>
      <w:r w:rsidRPr="00CB6EDA">
        <w:rPr>
          <w:rFonts w:hint="eastAsia"/>
          <w:rtl/>
        </w:rPr>
        <w:t>בהיבט</w:t>
      </w:r>
      <w:r w:rsidRPr="00CB6EDA">
        <w:rPr>
          <w:rtl/>
        </w:rPr>
        <w:t xml:space="preserve"> </w:t>
      </w:r>
      <w:r w:rsidRPr="00CB6EDA">
        <w:rPr>
          <w:rFonts w:hint="eastAsia"/>
          <w:rtl/>
        </w:rPr>
        <w:t>המקצועי</w:t>
      </w:r>
      <w:r>
        <w:rPr>
          <w:rFonts w:hint="cs"/>
          <w:rtl/>
        </w:rPr>
        <w:t xml:space="preserve">, ולבלום תופעה פסולה של מינוים פוליטיים לדירקטוריון חברה ממשלתית (עניין </w:t>
      </w:r>
      <w:r w:rsidRPr="00EF3C9C">
        <w:rPr>
          <w:rFonts w:ascii="Century" w:hAnsi="Century" w:cs="Miriam" w:hint="cs"/>
          <w:b/>
          <w:spacing w:val="0"/>
          <w:szCs w:val="24"/>
          <w:rtl/>
        </w:rPr>
        <w:t>התנועה לחופש המידע</w:t>
      </w:r>
      <w:r>
        <w:rPr>
          <w:rFonts w:hint="cs"/>
          <w:rtl/>
        </w:rPr>
        <w:t xml:space="preserve">, פסקאות 12-10). </w:t>
      </w:r>
    </w:p>
    <w:p w:rsidR="00282F22" w:rsidRDefault="00282F22" w:rsidP="00282F22">
      <w:pPr>
        <w:pStyle w:val="Ruller41"/>
        <w:rPr>
          <w:rtl/>
        </w:rPr>
      </w:pPr>
    </w:p>
    <w:p w:rsidR="00282F22" w:rsidRDefault="00282F22" w:rsidP="00282F22">
      <w:pPr>
        <w:pStyle w:val="Ruller41"/>
        <w:rPr>
          <w:rtl/>
        </w:rPr>
      </w:pPr>
      <w:r>
        <w:rPr>
          <w:rtl/>
        </w:rPr>
        <w:tab/>
      </w:r>
      <w:r>
        <w:rPr>
          <w:rFonts w:hint="cs"/>
          <w:rtl/>
        </w:rPr>
        <w:t>עם זאת, יש להעיר כי החוק לא בלם כליל, במסגרת ההסדר האמור, את האפשרות למנות מועמד אשר מתקיימת לגביו זיקה "אישית, עסקית או פוליטית" לשר משרי הממשלה,</w:t>
      </w:r>
      <w:r w:rsidRPr="00376E87">
        <w:rPr>
          <w:rtl/>
        </w:rPr>
        <w:t xml:space="preserve"> </w:t>
      </w:r>
      <w:r>
        <w:rPr>
          <w:rFonts w:hint="cs"/>
          <w:rtl/>
        </w:rPr>
        <w:t xml:space="preserve">אלא קבע לעניין זה הוראות מיוחדות. כך נקבע כי לא תינתן המלצת הוועדה לגבי מועמד כאמור אלא אם מצאה כי יש לו "כישורים מיוחדים" בתחומי פעולתה של החברה או שקיימים לגביו שיקולים של "כשירות מיוחדת אחרת" בנוסף לתנאי הכשירות הנדרשים על פי חוק לאותה כהונה </w:t>
      </w:r>
      <w:r w:rsidRPr="00376E87">
        <w:rPr>
          <w:rtl/>
        </w:rPr>
        <w:t>(</w:t>
      </w:r>
      <w:r w:rsidRPr="00376E87">
        <w:rPr>
          <w:rFonts w:hint="eastAsia"/>
          <w:rtl/>
        </w:rPr>
        <w:t>סעיף</w:t>
      </w:r>
      <w:r w:rsidRPr="00376E87">
        <w:rPr>
          <w:rtl/>
        </w:rPr>
        <w:t xml:space="preserve"> 18</w:t>
      </w:r>
      <w:r w:rsidRPr="00376E87">
        <w:rPr>
          <w:rFonts w:hint="eastAsia"/>
          <w:rtl/>
        </w:rPr>
        <w:t>ג</w:t>
      </w:r>
      <w:r w:rsidRPr="00376E87">
        <w:rPr>
          <w:rtl/>
        </w:rPr>
        <w:t>(</w:t>
      </w:r>
      <w:r w:rsidRPr="00376E87">
        <w:rPr>
          <w:rFonts w:hint="eastAsia"/>
          <w:rtl/>
        </w:rPr>
        <w:t>א</w:t>
      </w:r>
      <w:r w:rsidRPr="00376E87">
        <w:rPr>
          <w:rtl/>
        </w:rPr>
        <w:t>)</w:t>
      </w:r>
      <w:r>
        <w:rPr>
          <w:rFonts w:hint="cs"/>
          <w:rtl/>
        </w:rPr>
        <w:t xml:space="preserve"> לחוק). אף ניתנה האפשרות למנות מועמד כאמור על אף שהוועדה לבדיקת מינויים לא המליצה על מועמדותו, אם אושרה המועמדות על ידי הממשלה (סעיף 18(א) לחוק; ראו גם: </w:t>
      </w:r>
      <w:r w:rsidRPr="00CB6EDA">
        <w:rPr>
          <w:rFonts w:hint="eastAsia"/>
          <w:rtl/>
        </w:rPr>
        <w:t>בג</w:t>
      </w:r>
      <w:r w:rsidRPr="00CB6EDA">
        <w:rPr>
          <w:rtl/>
        </w:rPr>
        <w:t>"</w:t>
      </w:r>
      <w:r w:rsidRPr="00CB6EDA">
        <w:rPr>
          <w:rFonts w:hint="eastAsia"/>
          <w:rtl/>
        </w:rPr>
        <w:t>ץ</w:t>
      </w:r>
      <w:r w:rsidRPr="00CB6EDA">
        <w:rPr>
          <w:rtl/>
        </w:rPr>
        <w:t xml:space="preserve"> </w:t>
      </w:r>
      <w:r w:rsidRPr="00CB6EDA">
        <w:rPr>
          <w:rtl/>
        </w:rPr>
        <w:lastRenderedPageBreak/>
        <w:t xml:space="preserve">8173/21 </w:t>
      </w:r>
      <w:r w:rsidRPr="00CB6EDA">
        <w:rPr>
          <w:rFonts w:ascii="Century" w:hAnsi="Century" w:cs="Miriam" w:hint="eastAsia"/>
          <w:b/>
          <w:spacing w:val="0"/>
          <w:szCs w:val="24"/>
          <w:rtl/>
        </w:rPr>
        <w:t>התנועה</w:t>
      </w:r>
      <w:r w:rsidRPr="00CB6EDA">
        <w:rPr>
          <w:rFonts w:ascii="Century" w:hAnsi="Century" w:cs="Miriam"/>
          <w:b/>
          <w:spacing w:val="0"/>
          <w:szCs w:val="24"/>
          <w:rtl/>
        </w:rPr>
        <w:t xml:space="preserve"> </w:t>
      </w:r>
      <w:r w:rsidRPr="00CB6EDA">
        <w:rPr>
          <w:rFonts w:ascii="Century" w:hAnsi="Century" w:cs="Miriam" w:hint="eastAsia"/>
          <w:b/>
          <w:spacing w:val="0"/>
          <w:szCs w:val="24"/>
          <w:rtl/>
        </w:rPr>
        <w:t>למען</w:t>
      </w:r>
      <w:r w:rsidRPr="00CB6EDA">
        <w:rPr>
          <w:rFonts w:ascii="Century" w:hAnsi="Century" w:cs="Miriam"/>
          <w:b/>
          <w:spacing w:val="0"/>
          <w:szCs w:val="24"/>
          <w:rtl/>
        </w:rPr>
        <w:t xml:space="preserve"> </w:t>
      </w:r>
      <w:r w:rsidRPr="00CB6EDA">
        <w:rPr>
          <w:rFonts w:ascii="Century" w:hAnsi="Century" w:cs="Miriam" w:hint="eastAsia"/>
          <w:b/>
          <w:spacing w:val="0"/>
          <w:szCs w:val="24"/>
          <w:rtl/>
        </w:rPr>
        <w:t>איכות</w:t>
      </w:r>
      <w:r w:rsidRPr="00CB6EDA">
        <w:rPr>
          <w:rFonts w:ascii="Century" w:hAnsi="Century" w:cs="Miriam"/>
          <w:b/>
          <w:spacing w:val="0"/>
          <w:szCs w:val="24"/>
          <w:rtl/>
        </w:rPr>
        <w:t xml:space="preserve"> </w:t>
      </w:r>
      <w:r w:rsidRPr="00CB6EDA">
        <w:rPr>
          <w:rFonts w:ascii="Century" w:hAnsi="Century" w:cs="Miriam" w:hint="eastAsia"/>
          <w:b/>
          <w:spacing w:val="0"/>
          <w:szCs w:val="24"/>
          <w:rtl/>
        </w:rPr>
        <w:t>השלטון</w:t>
      </w:r>
      <w:r w:rsidRPr="00CB6EDA">
        <w:rPr>
          <w:rFonts w:ascii="Century" w:hAnsi="Century" w:cs="Miriam"/>
          <w:b/>
          <w:spacing w:val="0"/>
          <w:szCs w:val="24"/>
          <w:rtl/>
        </w:rPr>
        <w:t xml:space="preserve"> </w:t>
      </w:r>
      <w:r w:rsidRPr="00CB6EDA">
        <w:rPr>
          <w:rFonts w:ascii="Century" w:hAnsi="Century" w:cs="Miriam" w:hint="eastAsia"/>
          <w:b/>
          <w:spacing w:val="0"/>
          <w:szCs w:val="24"/>
          <w:rtl/>
        </w:rPr>
        <w:t>בישראל</w:t>
      </w:r>
      <w:r w:rsidRPr="00CB6EDA">
        <w:rPr>
          <w:rFonts w:ascii="Century" w:hAnsi="Century" w:cs="Miriam"/>
          <w:b/>
          <w:spacing w:val="0"/>
          <w:szCs w:val="24"/>
          <w:rtl/>
        </w:rPr>
        <w:t xml:space="preserve"> </w:t>
      </w:r>
      <w:r w:rsidRPr="00CB6EDA">
        <w:rPr>
          <w:rFonts w:ascii="Century" w:hAnsi="Century" w:cs="Miriam" w:hint="eastAsia"/>
          <w:b/>
          <w:spacing w:val="0"/>
          <w:szCs w:val="24"/>
          <w:rtl/>
        </w:rPr>
        <w:t>נ</w:t>
      </w:r>
      <w:r w:rsidRPr="00CB6EDA">
        <w:rPr>
          <w:rFonts w:ascii="Century" w:hAnsi="Century" w:cs="Miriam"/>
          <w:b/>
          <w:spacing w:val="0"/>
          <w:szCs w:val="24"/>
          <w:rtl/>
        </w:rPr>
        <w:t xml:space="preserve">' </w:t>
      </w:r>
      <w:r w:rsidRPr="00CB6EDA">
        <w:rPr>
          <w:rFonts w:ascii="Century" w:hAnsi="Century" w:cs="Miriam" w:hint="eastAsia"/>
          <w:b/>
          <w:spacing w:val="0"/>
          <w:szCs w:val="24"/>
          <w:rtl/>
        </w:rPr>
        <w:t>ממשלת</w:t>
      </w:r>
      <w:r w:rsidRPr="00CB6EDA">
        <w:rPr>
          <w:rFonts w:ascii="Century" w:hAnsi="Century" w:cs="Miriam"/>
          <w:b/>
          <w:spacing w:val="0"/>
          <w:szCs w:val="24"/>
          <w:rtl/>
        </w:rPr>
        <w:t xml:space="preserve"> </w:t>
      </w:r>
      <w:r w:rsidRPr="00CB6EDA">
        <w:rPr>
          <w:rFonts w:ascii="Century" w:hAnsi="Century" w:cs="Miriam" w:hint="eastAsia"/>
          <w:b/>
          <w:spacing w:val="0"/>
          <w:szCs w:val="24"/>
          <w:rtl/>
        </w:rPr>
        <w:t>ישראל</w:t>
      </w:r>
      <w:r>
        <w:rPr>
          <w:rFonts w:hint="cs"/>
          <w:rtl/>
        </w:rPr>
        <w:t xml:space="preserve">, פסקאות 6-4 לפסק דינו של השופט </w:t>
      </w:r>
      <w:r w:rsidRPr="00376E87">
        <w:rPr>
          <w:rFonts w:ascii="Century" w:hAnsi="Century" w:cs="Miriam" w:hint="cs"/>
          <w:b/>
          <w:spacing w:val="0"/>
          <w:szCs w:val="24"/>
          <w:rtl/>
        </w:rPr>
        <w:t>א' שטיין</w:t>
      </w:r>
      <w:r w:rsidRPr="00376E87">
        <w:rPr>
          <w:rFonts w:hint="cs"/>
          <w:rtl/>
        </w:rPr>
        <w:t xml:space="preserve"> </w:t>
      </w:r>
      <w:r>
        <w:rPr>
          <w:rFonts w:hint="cs"/>
          <w:rtl/>
        </w:rPr>
        <w:t>(22.5.2022)). ההנחה היא כי זיקה פוליטית לשר משרי הממשלה איננה פוסלת מועמד ראוי מלהתמנות לתפ</w:t>
      </w:r>
      <w:r w:rsidRPr="0071148A">
        <w:rPr>
          <w:rFonts w:ascii="Garamond" w:hAnsi="Garamond" w:hint="cs"/>
          <w:sz w:val="24"/>
          <w:rtl/>
        </w:rPr>
        <w:t xml:space="preserve">קיד, אולם בהסדר האמור בא לידי ביטוי הצורך בבלם מפני מינויים בלתי הולמים הנובעים מזיקה פוליטית כזו או אחרת בלבד </w:t>
      </w:r>
      <w:r>
        <w:rPr>
          <w:rFonts w:hint="cs"/>
          <w:rtl/>
        </w:rPr>
        <w:t xml:space="preserve">(ראו גם: </w:t>
      </w:r>
      <w:r w:rsidRPr="001B5064">
        <w:rPr>
          <w:rFonts w:hint="eastAsia"/>
          <w:rtl/>
        </w:rPr>
        <w:t>בג</w:t>
      </w:r>
      <w:r w:rsidRPr="001B5064">
        <w:rPr>
          <w:rtl/>
        </w:rPr>
        <w:t>"</w:t>
      </w:r>
      <w:r w:rsidRPr="001B5064">
        <w:rPr>
          <w:rFonts w:hint="eastAsia"/>
          <w:rtl/>
        </w:rPr>
        <w:t>ץ</w:t>
      </w:r>
      <w:r>
        <w:rPr>
          <w:rtl/>
        </w:rPr>
        <w:t xml:space="preserve"> 932/99 </w:t>
      </w:r>
      <w:r w:rsidRPr="001B5064">
        <w:rPr>
          <w:rFonts w:ascii="Century" w:hAnsi="Century" w:cs="Miriam" w:hint="cs"/>
          <w:b/>
          <w:spacing w:val="0"/>
          <w:szCs w:val="24"/>
          <w:rtl/>
        </w:rPr>
        <w:t xml:space="preserve">התנועה </w:t>
      </w:r>
      <w:r w:rsidRPr="001B5064">
        <w:rPr>
          <w:rFonts w:ascii="Century" w:hAnsi="Century" w:cs="Miriam" w:hint="eastAsia"/>
          <w:b/>
          <w:spacing w:val="0"/>
          <w:szCs w:val="24"/>
          <w:rtl/>
        </w:rPr>
        <w:t>למען</w:t>
      </w:r>
      <w:r w:rsidRPr="001B5064">
        <w:rPr>
          <w:rFonts w:ascii="Century" w:hAnsi="Century" w:cs="Miriam"/>
          <w:b/>
          <w:spacing w:val="0"/>
          <w:szCs w:val="24"/>
          <w:rtl/>
        </w:rPr>
        <w:t xml:space="preserve"> </w:t>
      </w:r>
      <w:r w:rsidRPr="001B5064">
        <w:rPr>
          <w:rFonts w:ascii="Century" w:hAnsi="Century" w:cs="Miriam" w:hint="eastAsia"/>
          <w:b/>
          <w:spacing w:val="0"/>
          <w:szCs w:val="24"/>
          <w:rtl/>
        </w:rPr>
        <w:t>איכות</w:t>
      </w:r>
      <w:r w:rsidRPr="001B5064">
        <w:rPr>
          <w:rFonts w:ascii="Century" w:hAnsi="Century" w:cs="Miriam"/>
          <w:b/>
          <w:spacing w:val="0"/>
          <w:szCs w:val="24"/>
          <w:rtl/>
        </w:rPr>
        <w:t xml:space="preserve"> </w:t>
      </w:r>
      <w:r w:rsidRPr="001B5064">
        <w:rPr>
          <w:rFonts w:ascii="Century" w:hAnsi="Century" w:cs="Miriam" w:hint="eastAsia"/>
          <w:b/>
          <w:spacing w:val="0"/>
          <w:szCs w:val="24"/>
          <w:rtl/>
        </w:rPr>
        <w:t>השלטון</w:t>
      </w:r>
      <w:r w:rsidRPr="001B5064">
        <w:rPr>
          <w:rFonts w:ascii="Century" w:hAnsi="Century" w:cs="Miriam"/>
          <w:b/>
          <w:spacing w:val="0"/>
          <w:szCs w:val="24"/>
          <w:rtl/>
        </w:rPr>
        <w:t xml:space="preserve"> </w:t>
      </w:r>
      <w:r w:rsidRPr="001B5064">
        <w:rPr>
          <w:rFonts w:ascii="Century" w:hAnsi="Century" w:cs="Miriam" w:hint="eastAsia"/>
          <w:b/>
          <w:spacing w:val="0"/>
          <w:szCs w:val="24"/>
          <w:rtl/>
        </w:rPr>
        <w:t>בישראל</w:t>
      </w:r>
      <w:r w:rsidRPr="001B5064">
        <w:rPr>
          <w:rFonts w:ascii="Century" w:hAnsi="Century" w:cs="Miriam"/>
          <w:b/>
          <w:spacing w:val="0"/>
          <w:szCs w:val="24"/>
          <w:rtl/>
        </w:rPr>
        <w:t xml:space="preserve"> </w:t>
      </w:r>
      <w:r w:rsidRPr="001B5064">
        <w:rPr>
          <w:rFonts w:ascii="Century" w:hAnsi="Century" w:cs="Miriam" w:hint="eastAsia"/>
          <w:b/>
          <w:spacing w:val="0"/>
          <w:szCs w:val="24"/>
          <w:rtl/>
        </w:rPr>
        <w:t>נ</w:t>
      </w:r>
      <w:r w:rsidRPr="001B5064">
        <w:rPr>
          <w:rFonts w:ascii="Century" w:hAnsi="Century" w:cs="Miriam"/>
          <w:b/>
          <w:spacing w:val="0"/>
          <w:szCs w:val="24"/>
          <w:rtl/>
        </w:rPr>
        <w:t>'</w:t>
      </w:r>
      <w:r>
        <w:rPr>
          <w:rFonts w:ascii="Century" w:hAnsi="Century" w:cs="Miriam" w:hint="cs"/>
          <w:b/>
          <w:spacing w:val="0"/>
          <w:szCs w:val="24"/>
          <w:rtl/>
        </w:rPr>
        <w:t xml:space="preserve"> </w:t>
      </w:r>
      <w:r w:rsidRPr="001B5064">
        <w:rPr>
          <w:rFonts w:ascii="Century" w:hAnsi="Century" w:cs="Miriam" w:hint="eastAsia"/>
          <w:b/>
          <w:spacing w:val="0"/>
          <w:szCs w:val="24"/>
          <w:rtl/>
        </w:rPr>
        <w:t>יושב</w:t>
      </w:r>
      <w:r w:rsidRPr="001B5064">
        <w:rPr>
          <w:rFonts w:ascii="Century" w:hAnsi="Century" w:cs="Miriam"/>
          <w:b/>
          <w:spacing w:val="0"/>
          <w:szCs w:val="24"/>
          <w:rtl/>
        </w:rPr>
        <w:t>-</w:t>
      </w:r>
      <w:r w:rsidRPr="001B5064">
        <w:rPr>
          <w:rFonts w:ascii="Century" w:hAnsi="Century" w:cs="Miriam" w:hint="eastAsia"/>
          <w:b/>
          <w:spacing w:val="0"/>
          <w:szCs w:val="24"/>
          <w:rtl/>
        </w:rPr>
        <w:t>ראש</w:t>
      </w:r>
      <w:r w:rsidRPr="001B5064">
        <w:rPr>
          <w:rFonts w:ascii="Century" w:hAnsi="Century" w:cs="Miriam"/>
          <w:b/>
          <w:spacing w:val="0"/>
          <w:szCs w:val="24"/>
          <w:rtl/>
        </w:rPr>
        <w:t xml:space="preserve"> </w:t>
      </w:r>
      <w:r w:rsidRPr="001B5064">
        <w:rPr>
          <w:rFonts w:ascii="Century" w:hAnsi="Century" w:cs="Miriam" w:hint="eastAsia"/>
          <w:b/>
          <w:spacing w:val="0"/>
          <w:szCs w:val="24"/>
          <w:rtl/>
        </w:rPr>
        <w:t>הוועדה</w:t>
      </w:r>
      <w:r w:rsidRPr="001B5064">
        <w:rPr>
          <w:rFonts w:ascii="Century" w:hAnsi="Century" w:cs="Miriam"/>
          <w:b/>
          <w:spacing w:val="0"/>
          <w:szCs w:val="24"/>
          <w:rtl/>
        </w:rPr>
        <w:t xml:space="preserve"> </w:t>
      </w:r>
      <w:r w:rsidRPr="001B5064">
        <w:rPr>
          <w:rFonts w:ascii="Century" w:hAnsi="Century" w:cs="Miriam" w:hint="eastAsia"/>
          <w:b/>
          <w:spacing w:val="0"/>
          <w:szCs w:val="24"/>
          <w:rtl/>
        </w:rPr>
        <w:t>לבדיקת</w:t>
      </w:r>
      <w:r w:rsidRPr="001B5064">
        <w:rPr>
          <w:rFonts w:ascii="Century" w:hAnsi="Century" w:cs="Miriam"/>
          <w:b/>
          <w:spacing w:val="0"/>
          <w:szCs w:val="24"/>
          <w:rtl/>
        </w:rPr>
        <w:t xml:space="preserve"> </w:t>
      </w:r>
      <w:r w:rsidRPr="001B5064">
        <w:rPr>
          <w:rFonts w:ascii="Century" w:hAnsi="Century" w:cs="Miriam" w:hint="eastAsia"/>
          <w:b/>
          <w:spacing w:val="0"/>
          <w:szCs w:val="24"/>
          <w:rtl/>
        </w:rPr>
        <w:t>מינויים</w:t>
      </w:r>
      <w:r w:rsidRPr="001B5064">
        <w:rPr>
          <w:rFonts w:ascii="Century" w:hAnsi="Century" w:cs="Miriam"/>
          <w:b/>
          <w:spacing w:val="0"/>
          <w:szCs w:val="24"/>
          <w:rtl/>
        </w:rPr>
        <w:t xml:space="preserve">, </w:t>
      </w:r>
      <w:r w:rsidRPr="001B5064">
        <w:rPr>
          <w:rFonts w:ascii="Century" w:hAnsi="Century" w:cs="Miriam" w:hint="eastAsia"/>
          <w:b/>
          <w:spacing w:val="0"/>
          <w:szCs w:val="24"/>
          <w:rtl/>
        </w:rPr>
        <w:t>כבוד</w:t>
      </w:r>
      <w:r w:rsidRPr="001B5064">
        <w:rPr>
          <w:rFonts w:ascii="Century" w:hAnsi="Century" w:cs="Miriam"/>
          <w:b/>
          <w:spacing w:val="0"/>
          <w:szCs w:val="24"/>
          <w:rtl/>
        </w:rPr>
        <w:t xml:space="preserve"> </w:t>
      </w:r>
      <w:r w:rsidRPr="001B5064">
        <w:rPr>
          <w:rFonts w:ascii="Century" w:hAnsi="Century" w:cs="Miriam" w:hint="eastAsia"/>
          <w:b/>
          <w:spacing w:val="0"/>
          <w:szCs w:val="24"/>
          <w:rtl/>
        </w:rPr>
        <w:t>השופט</w:t>
      </w:r>
      <w:r w:rsidRPr="001B5064">
        <w:rPr>
          <w:rFonts w:ascii="Century" w:hAnsi="Century" w:cs="Miriam"/>
          <w:b/>
          <w:spacing w:val="0"/>
          <w:szCs w:val="24"/>
          <w:rtl/>
        </w:rPr>
        <w:t xml:space="preserve"> (</w:t>
      </w:r>
      <w:r w:rsidRPr="001B5064">
        <w:rPr>
          <w:rFonts w:ascii="Century" w:hAnsi="Century" w:cs="Miriam" w:hint="eastAsia"/>
          <w:b/>
          <w:spacing w:val="0"/>
          <w:szCs w:val="24"/>
          <w:rtl/>
        </w:rPr>
        <w:t>בדימוס</w:t>
      </w:r>
      <w:r w:rsidRPr="001B5064">
        <w:rPr>
          <w:rFonts w:ascii="Century" w:hAnsi="Century" w:cs="Miriam"/>
          <w:b/>
          <w:spacing w:val="0"/>
          <w:szCs w:val="24"/>
          <w:rtl/>
        </w:rPr>
        <w:t>)</w:t>
      </w:r>
      <w:r w:rsidRPr="001B5064">
        <w:rPr>
          <w:rFonts w:ascii="Century" w:hAnsi="Century" w:cs="Miriam" w:hint="cs"/>
          <w:b/>
          <w:spacing w:val="0"/>
          <w:szCs w:val="24"/>
          <w:rtl/>
        </w:rPr>
        <w:t xml:space="preserve"> </w:t>
      </w:r>
      <w:r w:rsidRPr="001B5064">
        <w:rPr>
          <w:rFonts w:ascii="Century" w:hAnsi="Century" w:cs="Miriam" w:hint="eastAsia"/>
          <w:b/>
          <w:spacing w:val="0"/>
          <w:szCs w:val="24"/>
          <w:rtl/>
        </w:rPr>
        <w:t>מרדכי</w:t>
      </w:r>
      <w:r w:rsidRPr="001B5064">
        <w:rPr>
          <w:rFonts w:ascii="Century" w:hAnsi="Century" w:cs="Miriam"/>
          <w:b/>
          <w:spacing w:val="0"/>
          <w:szCs w:val="24"/>
          <w:rtl/>
        </w:rPr>
        <w:t xml:space="preserve"> </w:t>
      </w:r>
      <w:r w:rsidRPr="001B5064">
        <w:rPr>
          <w:rFonts w:ascii="Century" w:hAnsi="Century" w:cs="Miriam" w:hint="eastAsia"/>
          <w:b/>
          <w:spacing w:val="0"/>
          <w:szCs w:val="24"/>
          <w:rtl/>
        </w:rPr>
        <w:t>בן</w:t>
      </w:r>
      <w:r w:rsidRPr="001B5064">
        <w:rPr>
          <w:rFonts w:ascii="Century" w:hAnsi="Century" w:cs="Miriam"/>
          <w:b/>
          <w:spacing w:val="0"/>
          <w:szCs w:val="24"/>
          <w:rtl/>
        </w:rPr>
        <w:t xml:space="preserve"> </w:t>
      </w:r>
      <w:r w:rsidRPr="001B5064">
        <w:rPr>
          <w:rFonts w:ascii="Century" w:hAnsi="Century" w:cs="Miriam" w:hint="eastAsia"/>
          <w:b/>
          <w:spacing w:val="0"/>
          <w:szCs w:val="24"/>
          <w:rtl/>
        </w:rPr>
        <w:t>דרור</w:t>
      </w:r>
      <w:r w:rsidRPr="001B5064">
        <w:rPr>
          <w:rtl/>
        </w:rPr>
        <w:t xml:space="preserve">, </w:t>
      </w:r>
      <w:r w:rsidRPr="001B5064">
        <w:rPr>
          <w:rFonts w:hint="eastAsia"/>
          <w:rtl/>
        </w:rPr>
        <w:t>פ</w:t>
      </w:r>
      <w:r>
        <w:rPr>
          <w:rFonts w:hint="cs"/>
          <w:rtl/>
        </w:rPr>
        <w:t>"</w:t>
      </w:r>
      <w:r w:rsidRPr="001B5064">
        <w:rPr>
          <w:rFonts w:hint="eastAsia"/>
          <w:rtl/>
        </w:rPr>
        <w:t>ד</w:t>
      </w:r>
      <w:r w:rsidRPr="001B5064">
        <w:rPr>
          <w:rtl/>
        </w:rPr>
        <w:t xml:space="preserve"> </w:t>
      </w:r>
      <w:proofErr w:type="spellStart"/>
      <w:r w:rsidRPr="001B5064">
        <w:rPr>
          <w:rFonts w:hint="eastAsia"/>
          <w:rtl/>
        </w:rPr>
        <w:t>נג</w:t>
      </w:r>
      <w:proofErr w:type="spellEnd"/>
      <w:r w:rsidRPr="001B5064">
        <w:rPr>
          <w:rtl/>
        </w:rPr>
        <w:t>(</w:t>
      </w:r>
      <w:r w:rsidRPr="00E35738">
        <w:rPr>
          <w:rtl/>
        </w:rPr>
        <w:t>3) 769</w:t>
      </w:r>
      <w:r w:rsidRPr="00E35738">
        <w:rPr>
          <w:rFonts w:hint="cs"/>
          <w:rtl/>
        </w:rPr>
        <w:t>, 784-782 (1999);</w:t>
      </w:r>
      <w:r w:rsidRPr="001B5064">
        <w:rPr>
          <w:rFonts w:hint="cs"/>
          <w:rtl/>
        </w:rPr>
        <w:t xml:space="preserve"> </w:t>
      </w:r>
      <w:r>
        <w:rPr>
          <w:rFonts w:hint="cs"/>
          <w:rtl/>
        </w:rPr>
        <w:t xml:space="preserve">והשוו: </w:t>
      </w:r>
      <w:r w:rsidRPr="001B5064">
        <w:rPr>
          <w:rFonts w:hint="eastAsia"/>
          <w:rtl/>
        </w:rPr>
        <w:t>בג</w:t>
      </w:r>
      <w:r>
        <w:rPr>
          <w:rFonts w:hint="cs"/>
          <w:rtl/>
        </w:rPr>
        <w:t>"</w:t>
      </w:r>
      <w:r w:rsidRPr="001B5064">
        <w:rPr>
          <w:rFonts w:hint="eastAsia"/>
          <w:rtl/>
        </w:rPr>
        <w:t>ץ</w:t>
      </w:r>
      <w:r>
        <w:rPr>
          <w:rtl/>
        </w:rPr>
        <w:t xml:space="preserve"> 4646/08 </w:t>
      </w:r>
      <w:r w:rsidRPr="001B5064">
        <w:rPr>
          <w:rFonts w:ascii="Century" w:hAnsi="Century" w:cs="Miriam" w:hint="eastAsia"/>
          <w:b/>
          <w:spacing w:val="0"/>
          <w:szCs w:val="24"/>
          <w:rtl/>
        </w:rPr>
        <w:t>לביא</w:t>
      </w:r>
      <w:r w:rsidRPr="001B5064">
        <w:rPr>
          <w:rFonts w:ascii="Century" w:hAnsi="Century" w:cs="Miriam"/>
          <w:b/>
          <w:spacing w:val="0"/>
          <w:szCs w:val="24"/>
          <w:rtl/>
        </w:rPr>
        <w:t xml:space="preserve"> </w:t>
      </w:r>
      <w:r w:rsidRPr="001B5064">
        <w:rPr>
          <w:rFonts w:ascii="Century" w:hAnsi="Century" w:cs="Miriam" w:hint="eastAsia"/>
          <w:b/>
          <w:spacing w:val="0"/>
          <w:szCs w:val="24"/>
          <w:rtl/>
        </w:rPr>
        <w:t>נ</w:t>
      </w:r>
      <w:r w:rsidRPr="001B5064">
        <w:rPr>
          <w:rFonts w:ascii="Century" w:hAnsi="Century" w:cs="Miriam"/>
          <w:b/>
          <w:spacing w:val="0"/>
          <w:szCs w:val="24"/>
          <w:rtl/>
        </w:rPr>
        <w:t xml:space="preserve">' </w:t>
      </w:r>
      <w:r w:rsidRPr="001B5064">
        <w:rPr>
          <w:rFonts w:ascii="Century" w:hAnsi="Century" w:cs="Miriam" w:hint="eastAsia"/>
          <w:b/>
          <w:spacing w:val="0"/>
          <w:szCs w:val="24"/>
          <w:rtl/>
        </w:rPr>
        <w:t>ראש</w:t>
      </w:r>
      <w:r w:rsidRPr="001B5064">
        <w:rPr>
          <w:rFonts w:ascii="Century" w:hAnsi="Century" w:cs="Miriam"/>
          <w:b/>
          <w:spacing w:val="0"/>
          <w:szCs w:val="24"/>
          <w:rtl/>
        </w:rPr>
        <w:t xml:space="preserve"> </w:t>
      </w:r>
      <w:r w:rsidRPr="001B5064">
        <w:rPr>
          <w:rFonts w:ascii="Century" w:hAnsi="Century" w:cs="Miriam" w:hint="eastAsia"/>
          <w:b/>
          <w:spacing w:val="0"/>
          <w:szCs w:val="24"/>
          <w:rtl/>
        </w:rPr>
        <w:t>הממשלה</w:t>
      </w:r>
      <w:r>
        <w:rPr>
          <w:rFonts w:hint="cs"/>
          <w:rtl/>
        </w:rPr>
        <w:t>, פסקה 30 (12.10.2008)).</w:t>
      </w:r>
    </w:p>
    <w:p w:rsidR="00282F22" w:rsidRDefault="00282F22" w:rsidP="00282F22">
      <w:pPr>
        <w:pStyle w:val="Ruller41"/>
        <w:rPr>
          <w:rtl/>
        </w:rPr>
      </w:pPr>
    </w:p>
    <w:p w:rsidR="00282F22" w:rsidRDefault="00282F22" w:rsidP="00282F22">
      <w:pPr>
        <w:pStyle w:val="Ruller4"/>
        <w:rPr>
          <w:rtl/>
        </w:rPr>
      </w:pPr>
      <w:r>
        <w:rPr>
          <w:rFonts w:hint="cs"/>
          <w:rtl/>
        </w:rPr>
        <w:t xml:space="preserve">כך גם בפסיקת בית משפט זה הודגש כי על אף שמינוי דירקטור מתבצע על ידי השרים (לאחר התייעצות עם הוועדה לבדיקת מינויים), הקשר בין הדירקטור לבין הממנה מתנתק עם המינוי ופעילותו כדירקטור צריכה להיעשות מתוך שיקולים עניינים-עסקיים ולטובת החברה בלבד (בג"ץ 4566/90 </w:t>
      </w:r>
      <w:r w:rsidRPr="001C5D73">
        <w:rPr>
          <w:rFonts w:ascii="Century" w:hAnsi="Century" w:cs="Miriam" w:hint="cs"/>
          <w:b/>
          <w:spacing w:val="0"/>
          <w:szCs w:val="24"/>
          <w:rtl/>
        </w:rPr>
        <w:t>דקל נ' שר האוצר</w:t>
      </w:r>
      <w:r>
        <w:rPr>
          <w:rFonts w:hint="cs"/>
          <w:rtl/>
        </w:rPr>
        <w:t xml:space="preserve">, פ"ד מה(1) 28, 43 (1991); </w:t>
      </w:r>
      <w:r w:rsidRPr="001C5D73">
        <w:rPr>
          <w:rFonts w:hint="eastAsia"/>
          <w:rtl/>
        </w:rPr>
        <w:t>בג</w:t>
      </w:r>
      <w:r>
        <w:rPr>
          <w:rFonts w:hint="cs"/>
          <w:rtl/>
        </w:rPr>
        <w:t>"</w:t>
      </w:r>
      <w:r w:rsidRPr="001C5D73">
        <w:rPr>
          <w:rFonts w:hint="eastAsia"/>
          <w:rtl/>
        </w:rPr>
        <w:t>ץ</w:t>
      </w:r>
      <w:r w:rsidRPr="001C5D73">
        <w:rPr>
          <w:rtl/>
        </w:rPr>
        <w:t xml:space="preserve"> 2000/19 </w:t>
      </w:r>
      <w:r w:rsidRPr="001C5D73">
        <w:rPr>
          <w:rFonts w:ascii="Century" w:hAnsi="Century" w:cs="Miriam" w:hint="eastAsia"/>
          <w:b/>
          <w:spacing w:val="0"/>
          <w:szCs w:val="24"/>
          <w:rtl/>
        </w:rPr>
        <w:t>רו</w:t>
      </w:r>
      <w:r w:rsidRPr="001C5D73">
        <w:rPr>
          <w:rFonts w:ascii="Century" w:hAnsi="Century" w:cs="Miriam"/>
          <w:b/>
          <w:spacing w:val="0"/>
          <w:szCs w:val="24"/>
          <w:rtl/>
        </w:rPr>
        <w:t>"</w:t>
      </w:r>
      <w:r w:rsidRPr="001C5D73">
        <w:rPr>
          <w:rFonts w:ascii="Century" w:hAnsi="Century" w:cs="Miriam" w:hint="eastAsia"/>
          <w:b/>
          <w:spacing w:val="0"/>
          <w:szCs w:val="24"/>
          <w:rtl/>
        </w:rPr>
        <w:t>ח</w:t>
      </w:r>
      <w:r w:rsidRPr="001C5D73">
        <w:rPr>
          <w:rFonts w:ascii="Century" w:hAnsi="Century" w:cs="Miriam"/>
          <w:b/>
          <w:spacing w:val="0"/>
          <w:szCs w:val="24"/>
          <w:rtl/>
        </w:rPr>
        <w:t xml:space="preserve"> </w:t>
      </w:r>
      <w:r w:rsidRPr="001C5D73">
        <w:rPr>
          <w:rFonts w:ascii="Century" w:hAnsi="Century" w:cs="Miriam" w:hint="eastAsia"/>
          <w:b/>
          <w:spacing w:val="0"/>
          <w:szCs w:val="24"/>
          <w:rtl/>
        </w:rPr>
        <w:t>קובי</w:t>
      </w:r>
      <w:r w:rsidRPr="001C5D73">
        <w:rPr>
          <w:rFonts w:ascii="Century" w:hAnsi="Century" w:cs="Miriam"/>
          <w:b/>
          <w:spacing w:val="0"/>
          <w:szCs w:val="24"/>
          <w:rtl/>
        </w:rPr>
        <w:t xml:space="preserve"> </w:t>
      </w:r>
      <w:r w:rsidRPr="001C5D73">
        <w:rPr>
          <w:rFonts w:ascii="Century" w:hAnsi="Century" w:cs="Miriam" w:hint="eastAsia"/>
          <w:b/>
          <w:spacing w:val="0"/>
          <w:szCs w:val="24"/>
          <w:rtl/>
        </w:rPr>
        <w:t>נבון</w:t>
      </w:r>
      <w:r w:rsidRPr="001C5D73">
        <w:rPr>
          <w:rFonts w:ascii="Century" w:hAnsi="Century" w:cs="Miriam"/>
          <w:b/>
          <w:spacing w:val="0"/>
          <w:szCs w:val="24"/>
          <w:rtl/>
        </w:rPr>
        <w:t xml:space="preserve"> </w:t>
      </w:r>
      <w:r w:rsidRPr="001C5D73">
        <w:rPr>
          <w:rFonts w:ascii="Century" w:hAnsi="Century" w:cs="Miriam" w:hint="eastAsia"/>
          <w:b/>
          <w:spacing w:val="0"/>
          <w:szCs w:val="24"/>
          <w:rtl/>
        </w:rPr>
        <w:t>נ</w:t>
      </w:r>
      <w:r w:rsidRPr="001C5D73">
        <w:rPr>
          <w:rFonts w:ascii="Century" w:hAnsi="Century" w:cs="Miriam"/>
          <w:b/>
          <w:spacing w:val="0"/>
          <w:szCs w:val="24"/>
          <w:rtl/>
        </w:rPr>
        <w:t xml:space="preserve">' </w:t>
      </w:r>
      <w:r w:rsidRPr="001C5D73">
        <w:rPr>
          <w:rFonts w:ascii="Century" w:hAnsi="Century" w:cs="Miriam" w:hint="eastAsia"/>
          <w:b/>
          <w:spacing w:val="0"/>
          <w:szCs w:val="24"/>
          <w:rtl/>
        </w:rPr>
        <w:t>מנהל</w:t>
      </w:r>
      <w:r w:rsidRPr="001C5D73">
        <w:rPr>
          <w:rFonts w:ascii="Century" w:hAnsi="Century" w:cs="Miriam"/>
          <w:b/>
          <w:spacing w:val="0"/>
          <w:szCs w:val="24"/>
          <w:rtl/>
        </w:rPr>
        <w:t xml:space="preserve"> </w:t>
      </w:r>
      <w:r w:rsidRPr="001C5D73">
        <w:rPr>
          <w:rFonts w:ascii="Century" w:hAnsi="Century" w:cs="Miriam" w:hint="eastAsia"/>
          <w:b/>
          <w:spacing w:val="0"/>
          <w:szCs w:val="24"/>
          <w:rtl/>
        </w:rPr>
        <w:t>רשות</w:t>
      </w:r>
      <w:r w:rsidRPr="001C5D73">
        <w:rPr>
          <w:rFonts w:ascii="Century" w:hAnsi="Century" w:cs="Miriam"/>
          <w:b/>
          <w:spacing w:val="0"/>
          <w:szCs w:val="24"/>
          <w:rtl/>
        </w:rPr>
        <w:t xml:space="preserve"> </w:t>
      </w:r>
      <w:r w:rsidRPr="001C5D73">
        <w:rPr>
          <w:rFonts w:ascii="Century" w:hAnsi="Century" w:cs="Miriam" w:hint="eastAsia"/>
          <w:b/>
          <w:spacing w:val="0"/>
          <w:szCs w:val="24"/>
          <w:rtl/>
        </w:rPr>
        <w:t>החברות</w:t>
      </w:r>
      <w:r w:rsidRPr="001C5D73">
        <w:rPr>
          <w:rFonts w:ascii="Century" w:hAnsi="Century" w:cs="Miriam"/>
          <w:b/>
          <w:spacing w:val="0"/>
          <w:szCs w:val="24"/>
          <w:rtl/>
        </w:rPr>
        <w:t xml:space="preserve"> </w:t>
      </w:r>
      <w:r w:rsidRPr="001C5D73">
        <w:rPr>
          <w:rFonts w:ascii="Century" w:hAnsi="Century" w:cs="Miriam" w:hint="eastAsia"/>
          <w:b/>
          <w:spacing w:val="0"/>
          <w:szCs w:val="24"/>
          <w:rtl/>
        </w:rPr>
        <w:t>הממשלתיות</w:t>
      </w:r>
      <w:r>
        <w:rPr>
          <w:rFonts w:hint="cs"/>
          <w:rtl/>
        </w:rPr>
        <w:t>,</w:t>
      </w:r>
      <w:r w:rsidRPr="001C5D73">
        <w:rPr>
          <w:rFonts w:hint="cs"/>
          <w:rtl/>
        </w:rPr>
        <w:t xml:space="preserve"> </w:t>
      </w:r>
      <w:r>
        <w:rPr>
          <w:rFonts w:hint="cs"/>
          <w:rtl/>
        </w:rPr>
        <w:t xml:space="preserve">פסקה 56 (18.11.2019) (להלן: עניין </w:t>
      </w:r>
      <w:r w:rsidRPr="005671A0">
        <w:rPr>
          <w:rFonts w:ascii="Century" w:hAnsi="Century" w:cs="Miriam" w:hint="eastAsia"/>
          <w:b/>
          <w:spacing w:val="0"/>
          <w:sz w:val="22"/>
          <w:szCs w:val="24"/>
          <w:rtl/>
        </w:rPr>
        <w:t>נבון</w:t>
      </w:r>
      <w:r>
        <w:rPr>
          <w:rFonts w:hint="cs"/>
          <w:rtl/>
        </w:rPr>
        <w:t xml:space="preserve">)). וכך ככל דירקטור בכל חברה מסחרית, </w:t>
      </w:r>
      <w:r w:rsidRPr="005671A0">
        <w:rPr>
          <w:rFonts w:hint="eastAsia"/>
          <w:rtl/>
        </w:rPr>
        <w:t>גם</w:t>
      </w:r>
      <w:r>
        <w:rPr>
          <w:rFonts w:hint="cs"/>
          <w:rtl/>
        </w:rPr>
        <w:t xml:space="preserve"> דירקטור בחברה ממשלתית חב בחובת אמונים ובחובת זהירות כלפי החברה בהיותו נושא משרה בה (סעיפים 252 ו-254 לחוק החברות,</w:t>
      </w:r>
      <w:r w:rsidRPr="006D2082">
        <w:rPr>
          <w:rtl/>
        </w:rPr>
        <w:t xml:space="preserve"> </w:t>
      </w:r>
      <w:r>
        <w:rPr>
          <w:rFonts w:hint="cs"/>
          <w:rtl/>
        </w:rPr>
        <w:t>ה</w:t>
      </w:r>
      <w:r w:rsidRPr="006D2082">
        <w:rPr>
          <w:rFonts w:hint="eastAsia"/>
          <w:rtl/>
        </w:rPr>
        <w:t>תשנ</w:t>
      </w:r>
      <w:r w:rsidRPr="006D2082">
        <w:rPr>
          <w:rtl/>
        </w:rPr>
        <w:t>"</w:t>
      </w:r>
      <w:r w:rsidRPr="006D2082">
        <w:rPr>
          <w:rFonts w:hint="eastAsia"/>
          <w:rtl/>
        </w:rPr>
        <w:t>ט</w:t>
      </w:r>
      <w:r w:rsidRPr="006D2082">
        <w:rPr>
          <w:rtl/>
        </w:rPr>
        <w:t>-1999</w:t>
      </w:r>
      <w:r>
        <w:rPr>
          <w:rFonts w:hint="cs"/>
          <w:rtl/>
        </w:rPr>
        <w:t xml:space="preserve"> (להלן: </w:t>
      </w:r>
      <w:r w:rsidRPr="006D2082">
        <w:rPr>
          <w:rFonts w:ascii="Century" w:hAnsi="Century" w:cs="Miriam" w:hint="cs"/>
          <w:b/>
          <w:spacing w:val="0"/>
          <w:szCs w:val="24"/>
          <w:rtl/>
        </w:rPr>
        <w:t>חוק החברות</w:t>
      </w:r>
      <w:r>
        <w:rPr>
          <w:rFonts w:hint="cs"/>
          <w:rtl/>
        </w:rPr>
        <w:t>)) וחלות עליו הוראות הדין על פיהן עליו להפעיל שיקול דעת עצמאי בהצבעה בישיבות הדירקטוריון (סעיף 106 לחוק החברות).</w:t>
      </w:r>
    </w:p>
    <w:p w:rsidR="00282F22" w:rsidRDefault="00282F22" w:rsidP="00282F22">
      <w:pPr>
        <w:pStyle w:val="Ruller41"/>
        <w:rPr>
          <w:rtl/>
        </w:rPr>
      </w:pPr>
    </w:p>
    <w:p w:rsidR="00282F22" w:rsidRDefault="00282F22" w:rsidP="00282F22">
      <w:pPr>
        <w:pStyle w:val="Ruller4"/>
      </w:pPr>
      <w:r>
        <w:rPr>
          <w:rFonts w:hint="cs"/>
          <w:rtl/>
        </w:rPr>
        <w:t xml:space="preserve">באופן דומה, פן זה של שמירה על עצמאות הדירקטורים וחובתם המקצועית לפעול לטובת החברה בא לידי ביטוי במובן מסוים גם בהליך העברת דירקטור מתפקידו. הפעלת הסמכות להעברת דירקטור מתפקידו אינה כפופה רק לחובות כלליות מתחום המשפט </w:t>
      </w:r>
      <w:proofErr w:type="spellStart"/>
      <w:r>
        <w:rPr>
          <w:rFonts w:hint="cs"/>
          <w:rtl/>
        </w:rPr>
        <w:t>המינהלי</w:t>
      </w:r>
      <w:proofErr w:type="spellEnd"/>
      <w:r>
        <w:rPr>
          <w:rFonts w:hint="cs"/>
          <w:rtl/>
        </w:rPr>
        <w:t xml:space="preserve">, כגון החובה להימנע משקילת שיקולים זרים ומן החובה לפעול לטובת הציבור (ראו למשל: </w:t>
      </w:r>
      <w:r w:rsidRPr="00A84388">
        <w:rPr>
          <w:rFonts w:hint="eastAsia"/>
          <w:rtl/>
        </w:rPr>
        <w:t>בג</w:t>
      </w:r>
      <w:r>
        <w:rPr>
          <w:rFonts w:hint="cs"/>
          <w:rtl/>
        </w:rPr>
        <w:t>"</w:t>
      </w:r>
      <w:r w:rsidRPr="00A84388">
        <w:rPr>
          <w:rFonts w:hint="eastAsia"/>
          <w:rtl/>
        </w:rPr>
        <w:t>ץ</w:t>
      </w:r>
      <w:r>
        <w:rPr>
          <w:rtl/>
        </w:rPr>
        <w:t xml:space="preserve"> 3094/93</w:t>
      </w:r>
      <w:r>
        <w:rPr>
          <w:rFonts w:hint="cs"/>
          <w:rtl/>
        </w:rPr>
        <w:t xml:space="preserve"> </w:t>
      </w:r>
      <w:r w:rsidRPr="00A84388">
        <w:rPr>
          <w:rFonts w:ascii="Century" w:hAnsi="Century" w:cs="Miriam" w:hint="eastAsia"/>
          <w:b/>
          <w:spacing w:val="0"/>
          <w:szCs w:val="24"/>
          <w:rtl/>
        </w:rPr>
        <w:t>התנועה</w:t>
      </w:r>
      <w:r w:rsidRPr="00A84388">
        <w:rPr>
          <w:rFonts w:ascii="Century" w:hAnsi="Century" w:cs="Miriam"/>
          <w:b/>
          <w:spacing w:val="0"/>
          <w:szCs w:val="24"/>
          <w:rtl/>
        </w:rPr>
        <w:t xml:space="preserve"> </w:t>
      </w:r>
      <w:r w:rsidRPr="00A84388">
        <w:rPr>
          <w:rFonts w:ascii="Century" w:hAnsi="Century" w:cs="Miriam" w:hint="eastAsia"/>
          <w:b/>
          <w:spacing w:val="0"/>
          <w:szCs w:val="24"/>
          <w:rtl/>
        </w:rPr>
        <w:t>למען</w:t>
      </w:r>
      <w:r w:rsidRPr="00A84388">
        <w:rPr>
          <w:rFonts w:ascii="Century" w:hAnsi="Century" w:cs="Miriam"/>
          <w:b/>
          <w:spacing w:val="0"/>
          <w:szCs w:val="24"/>
          <w:rtl/>
        </w:rPr>
        <w:t xml:space="preserve"> </w:t>
      </w:r>
      <w:r w:rsidRPr="00A84388">
        <w:rPr>
          <w:rFonts w:ascii="Century" w:hAnsi="Century" w:cs="Miriam" w:hint="eastAsia"/>
          <w:b/>
          <w:spacing w:val="0"/>
          <w:szCs w:val="24"/>
          <w:rtl/>
        </w:rPr>
        <w:t>איכות</w:t>
      </w:r>
      <w:r w:rsidRPr="00A84388">
        <w:rPr>
          <w:rFonts w:ascii="Century" w:hAnsi="Century" w:cs="Miriam"/>
          <w:b/>
          <w:spacing w:val="0"/>
          <w:szCs w:val="24"/>
          <w:rtl/>
        </w:rPr>
        <w:t xml:space="preserve"> </w:t>
      </w:r>
      <w:r w:rsidRPr="00A84388">
        <w:rPr>
          <w:rFonts w:ascii="Century" w:hAnsi="Century" w:cs="Miriam" w:hint="eastAsia"/>
          <w:b/>
          <w:spacing w:val="0"/>
          <w:szCs w:val="24"/>
          <w:rtl/>
        </w:rPr>
        <w:t>השלטון</w:t>
      </w:r>
      <w:r w:rsidRPr="00A84388">
        <w:rPr>
          <w:rFonts w:ascii="Century" w:hAnsi="Century" w:cs="Miriam"/>
          <w:b/>
          <w:spacing w:val="0"/>
          <w:szCs w:val="24"/>
          <w:rtl/>
        </w:rPr>
        <w:t xml:space="preserve"> </w:t>
      </w:r>
      <w:r w:rsidRPr="00A84388">
        <w:rPr>
          <w:rFonts w:ascii="Century" w:hAnsi="Century" w:cs="Miriam" w:hint="eastAsia"/>
          <w:b/>
          <w:spacing w:val="0"/>
          <w:szCs w:val="24"/>
          <w:rtl/>
        </w:rPr>
        <w:t>בישראל</w:t>
      </w:r>
      <w:r w:rsidRPr="00A84388">
        <w:rPr>
          <w:rFonts w:ascii="Century" w:hAnsi="Century" w:cs="Miriam"/>
          <w:b/>
          <w:spacing w:val="0"/>
          <w:szCs w:val="24"/>
          <w:rtl/>
        </w:rPr>
        <w:t xml:space="preserve"> </w:t>
      </w:r>
      <w:r w:rsidRPr="00A84388">
        <w:rPr>
          <w:rFonts w:ascii="Century" w:hAnsi="Century" w:cs="Miriam" w:hint="eastAsia"/>
          <w:b/>
          <w:spacing w:val="0"/>
          <w:szCs w:val="24"/>
          <w:rtl/>
        </w:rPr>
        <w:t>נ</w:t>
      </w:r>
      <w:r w:rsidRPr="00A84388">
        <w:rPr>
          <w:rFonts w:ascii="Century" w:hAnsi="Century" w:cs="Miriam"/>
          <w:b/>
          <w:spacing w:val="0"/>
          <w:szCs w:val="24"/>
          <w:rtl/>
        </w:rPr>
        <w:t xml:space="preserve">' </w:t>
      </w:r>
      <w:r w:rsidRPr="00A84388">
        <w:rPr>
          <w:rFonts w:ascii="Century" w:hAnsi="Century" w:cs="Miriam" w:hint="eastAsia"/>
          <w:b/>
          <w:spacing w:val="0"/>
          <w:szCs w:val="24"/>
          <w:rtl/>
        </w:rPr>
        <w:t>ממשלת</w:t>
      </w:r>
      <w:r w:rsidRPr="00A84388">
        <w:rPr>
          <w:rFonts w:ascii="Century" w:hAnsi="Century" w:cs="Miriam"/>
          <w:b/>
          <w:spacing w:val="0"/>
          <w:szCs w:val="24"/>
          <w:rtl/>
        </w:rPr>
        <w:t xml:space="preserve"> </w:t>
      </w:r>
      <w:r w:rsidRPr="00A84388">
        <w:rPr>
          <w:rFonts w:ascii="Century" w:hAnsi="Century" w:cs="Miriam" w:hint="eastAsia"/>
          <w:b/>
          <w:spacing w:val="0"/>
          <w:szCs w:val="24"/>
          <w:rtl/>
        </w:rPr>
        <w:t>ישראל</w:t>
      </w:r>
      <w:r w:rsidRPr="00A84388">
        <w:rPr>
          <w:rtl/>
        </w:rPr>
        <w:t xml:space="preserve">, </w:t>
      </w:r>
      <w:r w:rsidRPr="00A84388">
        <w:rPr>
          <w:rFonts w:hint="eastAsia"/>
          <w:rtl/>
        </w:rPr>
        <w:t>פ</w:t>
      </w:r>
      <w:r>
        <w:rPr>
          <w:rFonts w:hint="cs"/>
          <w:rtl/>
        </w:rPr>
        <w:t>"</w:t>
      </w:r>
      <w:r w:rsidRPr="00A84388">
        <w:rPr>
          <w:rFonts w:hint="eastAsia"/>
          <w:rtl/>
        </w:rPr>
        <w:t>ד</w:t>
      </w:r>
      <w:r w:rsidRPr="00A84388">
        <w:rPr>
          <w:rtl/>
        </w:rPr>
        <w:t xml:space="preserve"> </w:t>
      </w:r>
      <w:proofErr w:type="spellStart"/>
      <w:r w:rsidRPr="00A84388">
        <w:rPr>
          <w:rFonts w:hint="eastAsia"/>
          <w:rtl/>
        </w:rPr>
        <w:t>מז</w:t>
      </w:r>
      <w:proofErr w:type="spellEnd"/>
      <w:r w:rsidRPr="00A84388">
        <w:rPr>
          <w:rtl/>
        </w:rPr>
        <w:t>(5) 404</w:t>
      </w:r>
      <w:r>
        <w:rPr>
          <w:rFonts w:hint="cs"/>
          <w:rtl/>
        </w:rPr>
        <w:t>,</w:t>
      </w:r>
      <w:r w:rsidRPr="00A84388">
        <w:rPr>
          <w:rFonts w:hint="cs"/>
          <w:rtl/>
        </w:rPr>
        <w:t xml:space="preserve"> </w:t>
      </w:r>
      <w:r>
        <w:rPr>
          <w:rFonts w:hint="cs"/>
          <w:rtl/>
        </w:rPr>
        <w:t xml:space="preserve">417 (1993)). ההוראות המפורטות בדבר הנסיבות המצדיקות העברה מתפקיד של דירקטור מכתיבות טווח מצבים ושיקולים מגודר שבו ניתן להפעיל סמכות זו. ברשימה נכללים מקרים שבהם תפקע כהונת דירקטור, כגון כאשר התפטר הדירקטור מתפקידו (סעיף 22(א)(1)) או התקיימה בו נסיבה הפוסלת אותו מלכהן בתפקידו (סעיף 22(א)(5)). בחלק מהמצבים, כבענייננו, מדובר בקביעה של </w:t>
      </w:r>
      <w:r w:rsidRPr="00B66AB0">
        <w:rPr>
          <w:rFonts w:ascii="Century" w:hAnsi="Century" w:cs="Miriam" w:hint="cs"/>
          <w:b/>
          <w:spacing w:val="0"/>
          <w:szCs w:val="24"/>
          <w:rtl/>
        </w:rPr>
        <w:t>רשות</w:t>
      </w:r>
      <w:r w:rsidRPr="00B66AB0">
        <w:rPr>
          <w:rFonts w:hint="cs"/>
          <w:rtl/>
        </w:rPr>
        <w:t xml:space="preserve"> </w:t>
      </w:r>
      <w:r w:rsidRPr="001F0202">
        <w:rPr>
          <w:rFonts w:ascii="Century" w:hAnsi="Century" w:cs="Miriam" w:hint="eastAsia"/>
          <w:b/>
          <w:spacing w:val="0"/>
          <w:sz w:val="22"/>
          <w:szCs w:val="24"/>
          <w:rtl/>
        </w:rPr>
        <w:t>החברות</w:t>
      </w:r>
      <w:r w:rsidRPr="001F0202">
        <w:rPr>
          <w:rFonts w:ascii="Century" w:hAnsi="Century" w:cs="Miriam"/>
          <w:b/>
          <w:spacing w:val="0"/>
          <w:sz w:val="22"/>
          <w:szCs w:val="24"/>
          <w:rtl/>
        </w:rPr>
        <w:t xml:space="preserve"> </w:t>
      </w:r>
      <w:r w:rsidRPr="001F0202">
        <w:rPr>
          <w:rFonts w:ascii="Century" w:hAnsi="Century" w:cs="Miriam" w:hint="eastAsia"/>
          <w:b/>
          <w:spacing w:val="0"/>
          <w:sz w:val="22"/>
          <w:szCs w:val="24"/>
          <w:rtl/>
        </w:rPr>
        <w:t>הממשלתיות</w:t>
      </w:r>
      <w:r w:rsidRPr="004C0660">
        <w:rPr>
          <w:rFonts w:hint="cs"/>
          <w:rtl/>
        </w:rPr>
        <w:t xml:space="preserve"> </w:t>
      </w:r>
      <w:r>
        <w:rPr>
          <w:rFonts w:hint="cs"/>
          <w:rtl/>
        </w:rPr>
        <w:t xml:space="preserve">או </w:t>
      </w:r>
      <w:r w:rsidRPr="00B66AB0">
        <w:rPr>
          <w:rFonts w:ascii="Century" w:hAnsi="Century" w:cs="Miriam" w:hint="cs"/>
          <w:b/>
          <w:spacing w:val="0"/>
          <w:szCs w:val="24"/>
          <w:rtl/>
        </w:rPr>
        <w:t>השרים</w:t>
      </w:r>
      <w:r w:rsidRPr="00B66AB0">
        <w:rPr>
          <w:rFonts w:hint="cs"/>
          <w:rtl/>
        </w:rPr>
        <w:t xml:space="preserve"> </w:t>
      </w:r>
      <w:r>
        <w:rPr>
          <w:rtl/>
        </w:rPr>
        <w:t>–</w:t>
      </w:r>
      <w:r>
        <w:rPr>
          <w:rFonts w:hint="cs"/>
          <w:rtl/>
        </w:rPr>
        <w:t xml:space="preserve"> למשל, אם השרים הודיעו לחברה (לאחר התייעצות עם הרשות) כי נבצר מהדירקטור למלא את תפקידו (סעיף 22(א)(3)); אם הרשות קבעה כי הדירקטור אינו ממלא את תפקידו באופן המקדם ביצוע החלטה על הפרטת החברה (סעיף 22(א)(7)); ואם </w:t>
      </w:r>
      <w:r>
        <w:rPr>
          <w:rtl/>
        </w:rPr>
        <w:t>–</w:t>
      </w:r>
      <w:r>
        <w:rPr>
          <w:rFonts w:hint="cs"/>
          <w:rtl/>
        </w:rPr>
        <w:t xml:space="preserve"> לפי החלופה העומדת במוקד דיוננו </w:t>
      </w:r>
      <w:r>
        <w:rPr>
          <w:rtl/>
        </w:rPr>
        <w:t>–</w:t>
      </w:r>
      <w:r>
        <w:rPr>
          <w:rFonts w:hint="cs"/>
          <w:rtl/>
        </w:rPr>
        <w:t xml:space="preserve"> הרשות, או השרים (לאחר </w:t>
      </w:r>
      <w:r>
        <w:rPr>
          <w:rFonts w:hint="cs"/>
          <w:rtl/>
        </w:rPr>
        <w:lastRenderedPageBreak/>
        <w:t xml:space="preserve">התייעצות עם הרשות) ראו כי הדירקטור </w:t>
      </w:r>
      <w:r w:rsidR="000251FE">
        <w:rPr>
          <w:rFonts w:hint="cs"/>
          <w:rtl/>
        </w:rPr>
        <w:t>"</w:t>
      </w:r>
      <w:r w:rsidRPr="00B66AB0">
        <w:rPr>
          <w:rFonts w:hint="eastAsia"/>
          <w:rtl/>
        </w:rPr>
        <w:t>אינו</w:t>
      </w:r>
      <w:r w:rsidRPr="00B66AB0">
        <w:rPr>
          <w:rtl/>
        </w:rPr>
        <w:t xml:space="preserve"> </w:t>
      </w:r>
      <w:r w:rsidRPr="00B66AB0">
        <w:rPr>
          <w:rFonts w:hint="eastAsia"/>
          <w:rtl/>
        </w:rPr>
        <w:t>ממלא</w:t>
      </w:r>
      <w:r w:rsidRPr="00B66AB0">
        <w:rPr>
          <w:rtl/>
        </w:rPr>
        <w:t xml:space="preserve"> </w:t>
      </w:r>
      <w:r>
        <w:rPr>
          <w:rFonts w:hint="cs"/>
          <w:rtl/>
        </w:rPr>
        <w:t xml:space="preserve">את </w:t>
      </w:r>
      <w:r w:rsidRPr="00B66AB0">
        <w:rPr>
          <w:rFonts w:hint="eastAsia"/>
          <w:rtl/>
        </w:rPr>
        <w:t>תפקידו</w:t>
      </w:r>
      <w:r w:rsidRPr="00B66AB0">
        <w:rPr>
          <w:rtl/>
        </w:rPr>
        <w:t xml:space="preserve"> </w:t>
      </w:r>
      <w:r w:rsidRPr="00B66AB0">
        <w:rPr>
          <w:rFonts w:hint="eastAsia"/>
          <w:rtl/>
        </w:rPr>
        <w:t>כראוי</w:t>
      </w:r>
      <w:r>
        <w:rPr>
          <w:rFonts w:hint="cs"/>
          <w:rtl/>
        </w:rPr>
        <w:t>" (סעיף 22(א)(6)).</w:t>
      </w:r>
    </w:p>
    <w:p w:rsidR="00282F22" w:rsidRDefault="00282F22" w:rsidP="00282F22">
      <w:pPr>
        <w:pStyle w:val="Ruller4"/>
        <w:numPr>
          <w:ilvl w:val="0"/>
          <w:numId w:val="0"/>
        </w:numPr>
      </w:pPr>
    </w:p>
    <w:p w:rsidR="00282F22" w:rsidRPr="0071148A" w:rsidRDefault="00282F22" w:rsidP="00282F22">
      <w:pPr>
        <w:pStyle w:val="Ruller4"/>
        <w:rPr>
          <w:rtl/>
        </w:rPr>
      </w:pPr>
      <w:r>
        <w:rPr>
          <w:rFonts w:hint="cs"/>
          <w:rtl/>
        </w:rPr>
        <w:t xml:space="preserve">מכל מקום, כאמור לעיל, השרים לא הוסמכו לפטר דירקטור בכל עת לפי שיקול דעתם, אלא רק בהתקיים אחת מהנסיבות שפורטו לעיל (ראו גם, למשל: </w:t>
      </w:r>
      <w:r w:rsidRPr="004F5B12">
        <w:rPr>
          <w:rFonts w:hint="eastAsia"/>
          <w:rtl/>
        </w:rPr>
        <w:t>יוסף</w:t>
      </w:r>
      <w:r w:rsidRPr="004F5B12">
        <w:rPr>
          <w:rtl/>
        </w:rPr>
        <w:t xml:space="preserve"> </w:t>
      </w:r>
      <w:r w:rsidRPr="004F5B12">
        <w:rPr>
          <w:rFonts w:hint="eastAsia"/>
          <w:rtl/>
        </w:rPr>
        <w:t>גרוס</w:t>
      </w:r>
      <w:r>
        <w:rPr>
          <w:rFonts w:hint="cs"/>
          <w:rtl/>
        </w:rPr>
        <w:t xml:space="preserve"> </w:t>
      </w:r>
      <w:r w:rsidRPr="0071148A">
        <w:rPr>
          <w:rFonts w:ascii="Century" w:hAnsi="Century" w:cs="Miriam" w:hint="eastAsia"/>
          <w:b/>
          <w:spacing w:val="0"/>
          <w:szCs w:val="24"/>
          <w:rtl/>
        </w:rPr>
        <w:t>דירקטורים</w:t>
      </w:r>
      <w:r w:rsidRPr="0071148A">
        <w:rPr>
          <w:rFonts w:ascii="Century" w:hAnsi="Century" w:cs="Miriam"/>
          <w:b/>
          <w:spacing w:val="0"/>
          <w:szCs w:val="24"/>
          <w:rtl/>
        </w:rPr>
        <w:t xml:space="preserve"> </w:t>
      </w:r>
      <w:r w:rsidRPr="0071148A">
        <w:rPr>
          <w:rFonts w:ascii="Century" w:hAnsi="Century" w:cs="Miriam" w:hint="eastAsia"/>
          <w:b/>
          <w:spacing w:val="0"/>
          <w:szCs w:val="24"/>
          <w:rtl/>
        </w:rPr>
        <w:t>ונושאי</w:t>
      </w:r>
      <w:r w:rsidRPr="0071148A">
        <w:rPr>
          <w:rFonts w:ascii="Century" w:hAnsi="Century" w:cs="Miriam"/>
          <w:b/>
          <w:spacing w:val="0"/>
          <w:szCs w:val="24"/>
          <w:rtl/>
        </w:rPr>
        <w:t xml:space="preserve"> </w:t>
      </w:r>
      <w:r w:rsidRPr="0071148A">
        <w:rPr>
          <w:rFonts w:ascii="Century" w:hAnsi="Century" w:cs="Miriam" w:hint="eastAsia"/>
          <w:b/>
          <w:spacing w:val="0"/>
          <w:szCs w:val="24"/>
          <w:rtl/>
        </w:rPr>
        <w:t>משרה</w:t>
      </w:r>
      <w:r w:rsidRPr="0071148A">
        <w:rPr>
          <w:rFonts w:ascii="Century" w:hAnsi="Century" w:cs="Miriam"/>
          <w:b/>
          <w:spacing w:val="0"/>
          <w:szCs w:val="24"/>
          <w:rtl/>
        </w:rPr>
        <w:t xml:space="preserve"> </w:t>
      </w:r>
      <w:r w:rsidRPr="0071148A">
        <w:rPr>
          <w:rFonts w:ascii="Century" w:hAnsi="Century" w:cs="Miriam" w:hint="eastAsia"/>
          <w:b/>
          <w:spacing w:val="0"/>
          <w:szCs w:val="24"/>
          <w:rtl/>
        </w:rPr>
        <w:t>בחברה</w:t>
      </w:r>
      <w:r w:rsidRPr="004F5B12">
        <w:rPr>
          <w:rtl/>
        </w:rPr>
        <w:t xml:space="preserve"> </w:t>
      </w:r>
      <w:r>
        <w:rPr>
          <w:rFonts w:hint="cs"/>
          <w:rtl/>
        </w:rPr>
        <w:t xml:space="preserve">133 </w:t>
      </w:r>
      <w:r w:rsidRPr="004F5B12">
        <w:rPr>
          <w:rtl/>
        </w:rPr>
        <w:t>(1989)</w:t>
      </w:r>
      <w:r>
        <w:rPr>
          <w:rFonts w:hint="cs"/>
          <w:rtl/>
        </w:rPr>
        <w:t xml:space="preserve">). בכל אחד </w:t>
      </w:r>
      <w:r w:rsidRPr="0071148A">
        <w:rPr>
          <w:rFonts w:ascii="Century" w:hAnsi="Century" w:hint="cs"/>
          <w:rtl/>
        </w:rPr>
        <w:t>מהמצבים האלה הנחת היסוד היא כי מדובר במי שאינו ממלא או אינו יכול למלא את תפקידיו כמצופה</w:t>
      </w:r>
      <w:r>
        <w:rPr>
          <w:rFonts w:ascii="Century" w:hAnsi="Century" w:hint="cs"/>
          <w:rtl/>
        </w:rPr>
        <w:t xml:space="preserve"> ממנו</w:t>
      </w:r>
      <w:r w:rsidRPr="0071148A">
        <w:rPr>
          <w:rFonts w:ascii="Century" w:hAnsi="Century" w:hint="cs"/>
          <w:rtl/>
        </w:rPr>
        <w:t xml:space="preserve">, לטובת החברה. </w:t>
      </w:r>
    </w:p>
    <w:p w:rsidR="00282F22" w:rsidRPr="00C70088" w:rsidRDefault="00282F22" w:rsidP="00282F22">
      <w:pPr>
        <w:pStyle w:val="Ruller41"/>
        <w:rPr>
          <w:rFonts w:ascii="Century" w:hAnsi="Century"/>
          <w:rtl/>
        </w:rPr>
      </w:pPr>
    </w:p>
    <w:p w:rsidR="00282F22" w:rsidRDefault="00282F22" w:rsidP="00282F22">
      <w:pPr>
        <w:pStyle w:val="Ruller4"/>
        <w:rPr>
          <w:rtl/>
        </w:rPr>
      </w:pPr>
      <w:r>
        <w:rPr>
          <w:rFonts w:hint="cs"/>
          <w:rtl/>
        </w:rPr>
        <w:t xml:space="preserve">הצדדים נחלקו באשר </w:t>
      </w:r>
      <w:r>
        <w:rPr>
          <w:rFonts w:ascii="Century" w:hAnsi="Century" w:hint="cs"/>
          <w:sz w:val="22"/>
          <w:rtl/>
        </w:rPr>
        <w:t xml:space="preserve">לגדר </w:t>
      </w:r>
      <w:r w:rsidRPr="000C71EE">
        <w:rPr>
          <w:rFonts w:ascii="Century" w:hAnsi="Century" w:hint="cs"/>
          <w:sz w:val="22"/>
          <w:rtl/>
        </w:rPr>
        <w:t xml:space="preserve">המצבים שבהם ניתן לקבוע כי דירקטור </w:t>
      </w:r>
      <w:r>
        <w:rPr>
          <w:rFonts w:ascii="Century" w:hAnsi="Century" w:hint="cs"/>
          <w:sz w:val="22"/>
          <w:rtl/>
        </w:rPr>
        <w:t>"</w:t>
      </w:r>
      <w:r w:rsidRPr="000C71EE">
        <w:rPr>
          <w:rFonts w:ascii="Century" w:hAnsi="Century" w:hint="cs"/>
          <w:sz w:val="22"/>
          <w:rtl/>
        </w:rPr>
        <w:t>אינו ממלא את תפקידו כראוי</w:t>
      </w:r>
      <w:r>
        <w:rPr>
          <w:rFonts w:ascii="Century" w:hAnsi="Century" w:hint="cs"/>
          <w:sz w:val="22"/>
          <w:rtl/>
        </w:rPr>
        <w:t>"</w:t>
      </w:r>
      <w:r w:rsidRPr="000C71EE">
        <w:rPr>
          <w:rFonts w:ascii="Century" w:hAnsi="Century" w:hint="cs"/>
          <w:sz w:val="22"/>
          <w:rtl/>
        </w:rPr>
        <w:t>, כנדרש לפי הוראת</w:t>
      </w:r>
      <w:r w:rsidRPr="000C71EE">
        <w:rPr>
          <w:rFonts w:hint="cs"/>
          <w:rtl/>
        </w:rPr>
        <w:t xml:space="preserve"> </w:t>
      </w:r>
      <w:r>
        <w:rPr>
          <w:rFonts w:hint="cs"/>
          <w:rtl/>
        </w:rPr>
        <w:t>סעיף 22(א)(6) האמורה. המשיבות טענו כי נדרש רף גבוה לצורך הפעלת הסמכות מכוח הסעיף, כאשר קביעה כזו יכולה להינתן רק כאשר הדירקטור פעל בסטייה משמעותית מההתנהלות המצופה מדירקטור בחברה ממשלתית וכאשר מדובר ב</w:t>
      </w:r>
      <w:r w:rsidRPr="00B66AB0">
        <w:rPr>
          <w:rFonts w:ascii="FrankRuehl" w:hAnsi="FrankRuehl" w:hint="eastAsia"/>
          <w:color w:val="000000"/>
          <w:sz w:val="28"/>
          <w:rtl/>
        </w:rPr>
        <w:t>פגם</w:t>
      </w:r>
      <w:r w:rsidRPr="00B66AB0">
        <w:rPr>
          <w:rFonts w:ascii="FrankRuehl" w:hAnsi="FrankRuehl"/>
          <w:color w:val="000000"/>
          <w:sz w:val="28"/>
          <w:rtl/>
        </w:rPr>
        <w:t xml:space="preserve"> </w:t>
      </w:r>
      <w:r w:rsidRPr="00B66AB0">
        <w:rPr>
          <w:rFonts w:ascii="FrankRuehl" w:hAnsi="FrankRuehl" w:hint="eastAsia"/>
          <w:color w:val="000000"/>
          <w:sz w:val="28"/>
          <w:rtl/>
        </w:rPr>
        <w:t>מהותי</w:t>
      </w:r>
      <w:r w:rsidRPr="00B66AB0">
        <w:rPr>
          <w:rFonts w:ascii="FrankRuehl" w:hAnsi="FrankRuehl"/>
          <w:color w:val="000000"/>
          <w:sz w:val="28"/>
          <w:rtl/>
        </w:rPr>
        <w:t xml:space="preserve"> </w:t>
      </w:r>
      <w:r w:rsidRPr="00B66AB0">
        <w:rPr>
          <w:rFonts w:ascii="FrankRuehl" w:hAnsi="FrankRuehl" w:hint="eastAsia"/>
          <w:color w:val="000000"/>
          <w:sz w:val="28"/>
          <w:rtl/>
        </w:rPr>
        <w:t>היורד</w:t>
      </w:r>
      <w:r w:rsidRPr="00B66AB0">
        <w:rPr>
          <w:rFonts w:ascii="FrankRuehl" w:hAnsi="FrankRuehl"/>
          <w:color w:val="000000"/>
          <w:sz w:val="28"/>
          <w:rtl/>
        </w:rPr>
        <w:t xml:space="preserve"> </w:t>
      </w:r>
      <w:r w:rsidRPr="00B66AB0">
        <w:rPr>
          <w:rFonts w:ascii="FrankRuehl" w:hAnsi="FrankRuehl" w:hint="eastAsia"/>
          <w:color w:val="000000"/>
          <w:sz w:val="28"/>
          <w:rtl/>
        </w:rPr>
        <w:t>לשורש</w:t>
      </w:r>
      <w:r w:rsidRPr="00B66AB0">
        <w:rPr>
          <w:rFonts w:ascii="FrankRuehl" w:hAnsi="FrankRuehl"/>
          <w:color w:val="000000"/>
          <w:sz w:val="28"/>
          <w:rtl/>
        </w:rPr>
        <w:t xml:space="preserve"> </w:t>
      </w:r>
      <w:r w:rsidRPr="00B66AB0">
        <w:rPr>
          <w:rFonts w:ascii="FrankRuehl" w:hAnsi="FrankRuehl" w:hint="eastAsia"/>
          <w:color w:val="000000"/>
          <w:sz w:val="28"/>
          <w:rtl/>
        </w:rPr>
        <w:t>העניין</w:t>
      </w:r>
      <w:r>
        <w:rPr>
          <w:rFonts w:ascii="FrankRuehl" w:hAnsi="FrankRuehl" w:hint="cs"/>
          <w:color w:val="000000"/>
          <w:sz w:val="28"/>
          <w:rtl/>
        </w:rPr>
        <w:t>. זאת בהשראה מפסיקה שניתנה בתחומים אחרים לגבי הוראות חוק שבהן דובר בהעברה מתפקיד בשל אי תפקוד כראוי</w:t>
      </w:r>
      <w:r>
        <w:rPr>
          <w:rFonts w:hint="cs"/>
          <w:rtl/>
        </w:rPr>
        <w:t xml:space="preserve">. כן טענו המשיבות כאמור כי נוכח העובדה שמאז חקיקת החוק ועד היום לא נעשה שימוש בסמכות השרים לפי סעיף זה, השימוש בה צריך להיעשות במקרים "חריגים ביותר". מנגד, לעמדת השרים די במצב שבו דירקטור אינו ממלא את תפקידו כמצופה </w:t>
      </w:r>
      <w:r>
        <w:rPr>
          <w:rtl/>
        </w:rPr>
        <w:t>–</w:t>
      </w:r>
      <w:r>
        <w:rPr>
          <w:rFonts w:hint="cs"/>
          <w:rtl/>
        </w:rPr>
        <w:t xml:space="preserve"> או במילותיהם: "כמו שצריך" </w:t>
      </w:r>
      <w:r>
        <w:rPr>
          <w:rtl/>
        </w:rPr>
        <w:t>–</w:t>
      </w:r>
      <w:r>
        <w:rPr>
          <w:rFonts w:hint="cs"/>
          <w:rtl/>
        </w:rPr>
        <w:t xml:space="preserve"> על מנת להעבירו מתפקידו. בעניין זה ביקשו השרים לקבל השראה מיתר הוראות החוק, וללמוד על אופי הסמכות בין היתר מן העובדה שמדובר ב"סעיף סל" שנועד לאפשר העברה מתפקיד במגוון רחב יותר של נסיבות מאלה החמורות המפורטות ביתר עילות הסעיף. כן הפנו השרים להוראת סעיף 33ד(ב)(1) לחוק על פיה די בכך שדירקטור ידע או אף היה עליו לדעת כי לא הוגשו דוחות כנדרש על ידי החברה, כדי לקבוע כי אינו ממלא את תפקידו כראוי.</w:t>
      </w:r>
    </w:p>
    <w:p w:rsidR="00282F22" w:rsidRDefault="00282F22" w:rsidP="00282F22">
      <w:pPr>
        <w:pStyle w:val="Ruller41"/>
        <w:rPr>
          <w:rtl/>
        </w:rPr>
      </w:pPr>
    </w:p>
    <w:p w:rsidR="00282F22" w:rsidRDefault="00282F22" w:rsidP="00282F22">
      <w:pPr>
        <w:pStyle w:val="Ruller4"/>
        <w:rPr>
          <w:rtl/>
        </w:rPr>
      </w:pPr>
      <w:r>
        <w:rPr>
          <w:rFonts w:hint="cs"/>
          <w:rtl/>
        </w:rPr>
        <w:t xml:space="preserve">אפתח ואומר כי אינני סבור, כעמדת המשיבות, כי השימוש בסעיף יכול להיעשות במקרים "חריגים ביותר" </w:t>
      </w:r>
      <w:r w:rsidRPr="00B836CF">
        <w:rPr>
          <w:rFonts w:hint="eastAsia"/>
          <w:rtl/>
        </w:rPr>
        <w:t>רק</w:t>
      </w:r>
      <w:r>
        <w:rPr>
          <w:rFonts w:hint="cs"/>
          <w:rtl/>
        </w:rPr>
        <w:t xml:space="preserve"> בשל כך שלא נעשה עד היום שימוש בסמכות הקבועה בסעיף זה להעברת דירקטור מתפקידו. השאלה אם נעשה שימוש בסעיף עד היום אם לאו, מסיבות שונות, איננה רלוונטית לעניין פרשנותו. כך גם אין מקום להשוואה שביקשו המשיבות לעשות לנסיבות העברה מתפקיד של גורמים אחרים שתפקידם שונה באופן מהותי מזה של דירקטור בחברה ממשלתית, כגון העברה מתפקיד של נאמן שמונה לפי חוק חדלות פירעון ושיקום כלכלי, התשע"ח-2018 בהתייחס לעילה שעניינה נאמן ש"אינו ממלא את תפקידו כראוי" (סעיף 55(א)(1) וסעיף 140(א)(1) לחוק האמור). אכן, בעניין ע"א</w:t>
      </w:r>
      <w:r>
        <w:rPr>
          <w:rtl/>
        </w:rPr>
        <w:t xml:space="preserve"> 3823/21 </w:t>
      </w:r>
      <w:r w:rsidRPr="002D25F8">
        <w:rPr>
          <w:rFonts w:ascii="Century" w:hAnsi="Century" w:cs="Miriam" w:hint="eastAsia"/>
          <w:b/>
          <w:spacing w:val="0"/>
          <w:szCs w:val="24"/>
          <w:rtl/>
        </w:rPr>
        <w:t>שימר</w:t>
      </w:r>
      <w:r w:rsidRPr="002D25F8">
        <w:rPr>
          <w:rFonts w:ascii="Century" w:hAnsi="Century" w:cs="Miriam"/>
          <w:b/>
          <w:spacing w:val="0"/>
          <w:szCs w:val="24"/>
          <w:rtl/>
        </w:rPr>
        <w:t xml:space="preserve"> </w:t>
      </w:r>
      <w:r w:rsidRPr="002D25F8">
        <w:rPr>
          <w:rFonts w:ascii="Century" w:hAnsi="Century" w:cs="Miriam" w:hint="eastAsia"/>
          <w:b/>
          <w:spacing w:val="0"/>
          <w:szCs w:val="24"/>
          <w:rtl/>
        </w:rPr>
        <w:t>נ</w:t>
      </w:r>
      <w:r w:rsidRPr="002D25F8">
        <w:rPr>
          <w:rFonts w:ascii="Century" w:hAnsi="Century" w:cs="Miriam"/>
          <w:b/>
          <w:spacing w:val="0"/>
          <w:szCs w:val="24"/>
          <w:rtl/>
        </w:rPr>
        <w:t xml:space="preserve">' </w:t>
      </w:r>
      <w:r w:rsidRPr="002D25F8">
        <w:rPr>
          <w:rFonts w:ascii="Century" w:hAnsi="Century" w:cs="Miriam" w:hint="eastAsia"/>
          <w:b/>
          <w:spacing w:val="0"/>
          <w:szCs w:val="24"/>
          <w:rtl/>
        </w:rPr>
        <w:t>ארז</w:t>
      </w:r>
      <w:r w:rsidRPr="002D25F8">
        <w:rPr>
          <w:rFonts w:ascii="Century" w:hAnsi="Century" w:cs="Miriam"/>
          <w:b/>
          <w:spacing w:val="0"/>
          <w:szCs w:val="24"/>
          <w:rtl/>
        </w:rPr>
        <w:t xml:space="preserve"> </w:t>
      </w:r>
      <w:r w:rsidRPr="002D25F8">
        <w:rPr>
          <w:rFonts w:ascii="Century" w:hAnsi="Century" w:cs="Miriam" w:hint="eastAsia"/>
          <w:b/>
          <w:spacing w:val="0"/>
          <w:szCs w:val="24"/>
          <w:rtl/>
        </w:rPr>
        <w:t>חבר</w:t>
      </w:r>
      <w:r w:rsidRPr="002D25F8">
        <w:rPr>
          <w:rFonts w:ascii="Century" w:hAnsi="Century" w:cs="Miriam"/>
          <w:b/>
          <w:spacing w:val="0"/>
          <w:szCs w:val="24"/>
          <w:rtl/>
        </w:rPr>
        <w:t xml:space="preserve">, </w:t>
      </w:r>
      <w:r w:rsidRPr="002D25F8">
        <w:rPr>
          <w:rFonts w:ascii="Century" w:hAnsi="Century" w:cs="Miriam" w:hint="eastAsia"/>
          <w:b/>
          <w:spacing w:val="0"/>
          <w:szCs w:val="24"/>
          <w:rtl/>
        </w:rPr>
        <w:t>עו</w:t>
      </w:r>
      <w:r w:rsidRPr="002D25F8">
        <w:rPr>
          <w:rFonts w:ascii="Century" w:hAnsi="Century" w:cs="Miriam"/>
          <w:b/>
          <w:spacing w:val="0"/>
          <w:szCs w:val="24"/>
          <w:rtl/>
        </w:rPr>
        <w:t>"</w:t>
      </w:r>
      <w:r w:rsidRPr="002D25F8">
        <w:rPr>
          <w:rFonts w:ascii="Century" w:hAnsi="Century" w:cs="Miriam" w:hint="eastAsia"/>
          <w:b/>
          <w:spacing w:val="0"/>
          <w:szCs w:val="24"/>
          <w:rtl/>
        </w:rPr>
        <w:t>ד</w:t>
      </w:r>
      <w:r w:rsidRPr="002D25F8">
        <w:rPr>
          <w:rFonts w:ascii="Century" w:hAnsi="Century" w:cs="Miriam"/>
          <w:b/>
          <w:spacing w:val="0"/>
          <w:szCs w:val="24"/>
          <w:rtl/>
        </w:rPr>
        <w:t xml:space="preserve">, </w:t>
      </w:r>
      <w:r w:rsidRPr="002D25F8">
        <w:rPr>
          <w:rFonts w:ascii="Century" w:hAnsi="Century" w:cs="Miriam" w:hint="eastAsia"/>
          <w:b/>
          <w:spacing w:val="0"/>
          <w:szCs w:val="24"/>
          <w:rtl/>
        </w:rPr>
        <w:t>נאמן</w:t>
      </w:r>
      <w:r w:rsidRPr="002D25F8">
        <w:rPr>
          <w:rFonts w:ascii="Century" w:hAnsi="Century" w:cs="Miriam" w:hint="cs"/>
          <w:b/>
          <w:spacing w:val="0"/>
          <w:szCs w:val="24"/>
          <w:rtl/>
        </w:rPr>
        <w:t xml:space="preserve"> </w:t>
      </w:r>
      <w:r w:rsidRPr="002D25F8">
        <w:rPr>
          <w:rFonts w:ascii="Century" w:hAnsi="Century" w:hint="cs"/>
          <w:rtl/>
        </w:rPr>
        <w:t>(</w:t>
      </w:r>
      <w:r w:rsidRPr="0071148A">
        <w:rPr>
          <w:rFonts w:hint="cs"/>
          <w:rtl/>
        </w:rPr>
        <w:t xml:space="preserve">21.7.2021) </w:t>
      </w:r>
      <w:r w:rsidRPr="0071148A">
        <w:rPr>
          <w:rtl/>
        </w:rPr>
        <w:t>–</w:t>
      </w:r>
      <w:r w:rsidRPr="0071148A">
        <w:rPr>
          <w:rFonts w:hint="cs"/>
          <w:rtl/>
        </w:rPr>
        <w:t xml:space="preserve"> אליו בין </w:t>
      </w:r>
      <w:r w:rsidRPr="0071148A">
        <w:rPr>
          <w:rFonts w:hint="cs"/>
          <w:rtl/>
        </w:rPr>
        <w:lastRenderedPageBreak/>
        <w:t xml:space="preserve">היתר הפנו המשיבות </w:t>
      </w:r>
      <w:r w:rsidRPr="0071148A">
        <w:rPr>
          <w:rtl/>
        </w:rPr>
        <w:t>–</w:t>
      </w:r>
      <w:r w:rsidRPr="0071148A">
        <w:rPr>
          <w:rFonts w:hint="cs"/>
          <w:rtl/>
        </w:rPr>
        <w:t xml:space="preserve"> ציינתי כי בית </w:t>
      </w:r>
      <w:r w:rsidRPr="0071148A">
        <w:rPr>
          <w:rFonts w:hint="eastAsia"/>
          <w:rtl/>
        </w:rPr>
        <w:t>משפט</w:t>
      </w:r>
      <w:r w:rsidRPr="0071148A">
        <w:rPr>
          <w:rtl/>
        </w:rPr>
        <w:t xml:space="preserve"> </w:t>
      </w:r>
      <w:r w:rsidRPr="0071148A">
        <w:rPr>
          <w:rFonts w:hint="eastAsia"/>
          <w:rtl/>
        </w:rPr>
        <w:t>של</w:t>
      </w:r>
      <w:r w:rsidRPr="0071148A">
        <w:rPr>
          <w:rtl/>
        </w:rPr>
        <w:t xml:space="preserve"> </w:t>
      </w:r>
      <w:r w:rsidRPr="0071148A">
        <w:rPr>
          <w:rFonts w:hint="eastAsia"/>
          <w:rtl/>
        </w:rPr>
        <w:t>חדלות</w:t>
      </w:r>
      <w:r w:rsidRPr="0071148A">
        <w:rPr>
          <w:rtl/>
        </w:rPr>
        <w:t xml:space="preserve"> </w:t>
      </w:r>
      <w:r w:rsidRPr="0071148A">
        <w:rPr>
          <w:rFonts w:hint="eastAsia"/>
          <w:rtl/>
        </w:rPr>
        <w:t>פירעון</w:t>
      </w:r>
      <w:r w:rsidRPr="0071148A">
        <w:rPr>
          <w:rtl/>
        </w:rPr>
        <w:t xml:space="preserve"> </w:t>
      </w:r>
      <w:r w:rsidRPr="0071148A">
        <w:rPr>
          <w:rFonts w:hint="eastAsia"/>
          <w:rtl/>
        </w:rPr>
        <w:t>רשאי</w:t>
      </w:r>
      <w:r w:rsidRPr="0071148A">
        <w:rPr>
          <w:rtl/>
        </w:rPr>
        <w:t xml:space="preserve"> </w:t>
      </w:r>
      <w:r w:rsidRPr="0071148A">
        <w:rPr>
          <w:rFonts w:hint="eastAsia"/>
          <w:rtl/>
        </w:rPr>
        <w:t>ל</w:t>
      </w:r>
      <w:r w:rsidRPr="002D25F8">
        <w:rPr>
          <w:rFonts w:ascii="FrankRuehl" w:hAnsi="FrankRuehl" w:hint="eastAsia"/>
          <w:color w:val="000000"/>
          <w:sz w:val="28"/>
          <w:rtl/>
        </w:rPr>
        <w:t>העביר</w:t>
      </w:r>
      <w:r w:rsidRPr="002D25F8">
        <w:rPr>
          <w:rFonts w:ascii="FrankRuehl" w:hAnsi="FrankRuehl"/>
          <w:color w:val="000000"/>
          <w:sz w:val="28"/>
          <w:rtl/>
        </w:rPr>
        <w:t xml:space="preserve"> </w:t>
      </w:r>
      <w:r w:rsidRPr="002D25F8">
        <w:rPr>
          <w:rFonts w:ascii="FrankRuehl" w:hAnsi="FrankRuehl" w:hint="eastAsia"/>
          <w:color w:val="000000"/>
          <w:sz w:val="28"/>
          <w:rtl/>
        </w:rPr>
        <w:t>נאמן</w:t>
      </w:r>
      <w:r w:rsidRPr="002D25F8">
        <w:rPr>
          <w:rFonts w:ascii="FrankRuehl" w:hAnsi="FrankRuehl"/>
          <w:color w:val="000000"/>
          <w:sz w:val="28"/>
          <w:rtl/>
        </w:rPr>
        <w:t xml:space="preserve"> </w:t>
      </w:r>
      <w:r w:rsidRPr="002D25F8">
        <w:rPr>
          <w:rFonts w:ascii="FrankRuehl" w:hAnsi="FrankRuehl" w:hint="eastAsia"/>
          <w:color w:val="000000"/>
          <w:sz w:val="28"/>
          <w:rtl/>
        </w:rPr>
        <w:t>מתפקידו</w:t>
      </w:r>
      <w:r w:rsidRPr="002D25F8">
        <w:rPr>
          <w:rFonts w:ascii="FrankRuehl" w:hAnsi="FrankRuehl"/>
          <w:color w:val="000000"/>
          <w:sz w:val="28"/>
          <w:rtl/>
        </w:rPr>
        <w:t xml:space="preserve"> </w:t>
      </w:r>
      <w:r w:rsidRPr="002D25F8">
        <w:rPr>
          <w:rFonts w:ascii="FrankRuehl" w:hAnsi="FrankRuehl" w:hint="eastAsia"/>
          <w:color w:val="000000"/>
          <w:sz w:val="28"/>
          <w:rtl/>
        </w:rPr>
        <w:t>אם</w:t>
      </w:r>
      <w:r w:rsidRPr="002D25F8">
        <w:rPr>
          <w:rFonts w:ascii="FrankRuehl" w:hAnsi="FrankRuehl"/>
          <w:color w:val="000000"/>
          <w:sz w:val="28"/>
          <w:rtl/>
        </w:rPr>
        <w:t xml:space="preserve"> </w:t>
      </w:r>
      <w:r w:rsidRPr="002D25F8">
        <w:rPr>
          <w:rFonts w:ascii="FrankRuehl" w:hAnsi="FrankRuehl" w:hint="eastAsia"/>
          <w:color w:val="000000"/>
          <w:sz w:val="28"/>
          <w:rtl/>
        </w:rPr>
        <w:t>הוכח</w:t>
      </w:r>
      <w:r w:rsidRPr="002D25F8">
        <w:rPr>
          <w:rFonts w:ascii="FrankRuehl" w:hAnsi="FrankRuehl"/>
          <w:color w:val="000000"/>
          <w:sz w:val="28"/>
          <w:rtl/>
        </w:rPr>
        <w:t xml:space="preserve"> </w:t>
      </w:r>
      <w:r w:rsidRPr="002D25F8">
        <w:rPr>
          <w:rFonts w:ascii="FrankRuehl" w:hAnsi="FrankRuehl" w:hint="eastAsia"/>
          <w:color w:val="000000"/>
          <w:sz w:val="28"/>
          <w:rtl/>
        </w:rPr>
        <w:t>כי</w:t>
      </w:r>
      <w:r w:rsidRPr="002D25F8">
        <w:rPr>
          <w:rFonts w:ascii="FrankRuehl" w:hAnsi="FrankRuehl"/>
          <w:color w:val="000000"/>
          <w:sz w:val="28"/>
          <w:rtl/>
        </w:rPr>
        <w:t xml:space="preserve"> </w:t>
      </w:r>
      <w:r w:rsidRPr="002D25F8">
        <w:rPr>
          <w:rFonts w:ascii="FrankRuehl" w:hAnsi="FrankRuehl" w:hint="eastAsia"/>
          <w:color w:val="000000"/>
          <w:sz w:val="28"/>
          <w:rtl/>
        </w:rPr>
        <w:t>נפל</w:t>
      </w:r>
      <w:r w:rsidRPr="002D25F8">
        <w:rPr>
          <w:rFonts w:ascii="FrankRuehl" w:hAnsi="FrankRuehl"/>
          <w:color w:val="000000"/>
          <w:sz w:val="28"/>
          <w:rtl/>
        </w:rPr>
        <w:t xml:space="preserve"> </w:t>
      </w:r>
      <w:r w:rsidRPr="002D25F8">
        <w:rPr>
          <w:rFonts w:ascii="FrankRuehl" w:hAnsi="FrankRuehl" w:hint="eastAsia"/>
          <w:color w:val="000000"/>
          <w:sz w:val="28"/>
          <w:rtl/>
        </w:rPr>
        <w:t>בהתנהלותו</w:t>
      </w:r>
      <w:r w:rsidRPr="002D25F8">
        <w:rPr>
          <w:rFonts w:ascii="FrankRuehl" w:hAnsi="FrankRuehl"/>
          <w:color w:val="000000"/>
          <w:sz w:val="28"/>
          <w:rtl/>
        </w:rPr>
        <w:t xml:space="preserve"> </w:t>
      </w:r>
      <w:r w:rsidRPr="002D25F8">
        <w:rPr>
          <w:rFonts w:ascii="FrankRuehl" w:hAnsi="FrankRuehl" w:hint="eastAsia"/>
          <w:color w:val="000000"/>
          <w:sz w:val="28"/>
          <w:rtl/>
        </w:rPr>
        <w:t>פגם</w:t>
      </w:r>
      <w:r w:rsidRPr="002D25F8">
        <w:rPr>
          <w:rFonts w:ascii="FrankRuehl" w:hAnsi="FrankRuehl"/>
          <w:color w:val="000000"/>
          <w:sz w:val="28"/>
          <w:rtl/>
        </w:rPr>
        <w:t xml:space="preserve"> </w:t>
      </w:r>
      <w:r w:rsidRPr="002D25F8">
        <w:rPr>
          <w:rFonts w:ascii="FrankRuehl" w:hAnsi="FrankRuehl" w:hint="eastAsia"/>
          <w:color w:val="000000"/>
          <w:sz w:val="28"/>
          <w:rtl/>
        </w:rPr>
        <w:t>מהותי</w:t>
      </w:r>
      <w:r w:rsidRPr="002D25F8">
        <w:rPr>
          <w:rFonts w:ascii="FrankRuehl" w:hAnsi="FrankRuehl"/>
          <w:color w:val="000000"/>
          <w:sz w:val="28"/>
          <w:rtl/>
        </w:rPr>
        <w:t xml:space="preserve"> </w:t>
      </w:r>
      <w:r w:rsidRPr="002D25F8">
        <w:rPr>
          <w:rFonts w:ascii="FrankRuehl" w:hAnsi="FrankRuehl" w:hint="eastAsia"/>
          <w:color w:val="000000"/>
          <w:sz w:val="28"/>
          <w:rtl/>
        </w:rPr>
        <w:t>היורד</w:t>
      </w:r>
      <w:r w:rsidRPr="002D25F8">
        <w:rPr>
          <w:rFonts w:ascii="FrankRuehl" w:hAnsi="FrankRuehl"/>
          <w:color w:val="000000"/>
          <w:sz w:val="28"/>
          <w:rtl/>
        </w:rPr>
        <w:t xml:space="preserve"> </w:t>
      </w:r>
      <w:r w:rsidRPr="002D25F8">
        <w:rPr>
          <w:rFonts w:ascii="FrankRuehl" w:hAnsi="FrankRuehl" w:hint="eastAsia"/>
          <w:color w:val="000000"/>
          <w:sz w:val="28"/>
          <w:rtl/>
        </w:rPr>
        <w:t>לשורש</w:t>
      </w:r>
      <w:r w:rsidRPr="002D25F8">
        <w:rPr>
          <w:rFonts w:ascii="FrankRuehl" w:hAnsi="FrankRuehl"/>
          <w:color w:val="000000"/>
          <w:sz w:val="28"/>
          <w:rtl/>
        </w:rPr>
        <w:t xml:space="preserve"> </w:t>
      </w:r>
      <w:r w:rsidRPr="002D25F8">
        <w:rPr>
          <w:rFonts w:ascii="FrankRuehl" w:hAnsi="FrankRuehl" w:hint="eastAsia"/>
          <w:color w:val="000000"/>
          <w:sz w:val="28"/>
          <w:rtl/>
        </w:rPr>
        <w:t>העניין</w:t>
      </w:r>
      <w:r>
        <w:rPr>
          <w:rFonts w:ascii="Century" w:hAnsi="Century" w:hint="cs"/>
          <w:rtl/>
        </w:rPr>
        <w:t xml:space="preserve"> (שם, פסקה 9), אולם </w:t>
      </w:r>
      <w:r w:rsidRPr="002D25F8">
        <w:rPr>
          <w:rFonts w:ascii="Century" w:hAnsi="Century" w:hint="cs"/>
          <w:rtl/>
        </w:rPr>
        <w:t xml:space="preserve">אין הנדון דומה לראיה. די אם אציין כי בענייננו מדובר בהפעלת סמכות </w:t>
      </w:r>
      <w:proofErr w:type="spellStart"/>
      <w:r w:rsidRPr="002D25F8">
        <w:rPr>
          <w:rFonts w:ascii="Century" w:hAnsi="Century" w:hint="cs"/>
          <w:rtl/>
        </w:rPr>
        <w:t>מינהלית</w:t>
      </w:r>
      <w:proofErr w:type="spellEnd"/>
      <w:r w:rsidRPr="002D25F8">
        <w:rPr>
          <w:rFonts w:ascii="Century" w:hAnsi="Century" w:hint="cs"/>
          <w:rtl/>
        </w:rPr>
        <w:t xml:space="preserve">, בעוד שלגבי העברת נאמן מתפקידו מדובר בהפעלת סמכות שיפוטית; וכי אין מקום להשוואה בין מינויו של דירקטור בחברה ממשלתית לבין נאמן בהליכי חדלות פירעון בהתייחס בין היתר לאופי הסמכות השונה בתכלית </w:t>
      </w:r>
      <w:r>
        <w:rPr>
          <w:rFonts w:ascii="Century" w:hAnsi="Century" w:hint="cs"/>
          <w:rtl/>
        </w:rPr>
        <w:t xml:space="preserve">הנתונה </w:t>
      </w:r>
      <w:r w:rsidRPr="002D25F8">
        <w:rPr>
          <w:rFonts w:ascii="Century" w:hAnsi="Century" w:hint="cs"/>
          <w:rtl/>
        </w:rPr>
        <w:t>לכל אחד מגורמים אלה.</w:t>
      </w:r>
    </w:p>
    <w:p w:rsidR="00282F22" w:rsidRDefault="00282F22" w:rsidP="00282F22">
      <w:pPr>
        <w:pStyle w:val="Ruller41"/>
        <w:rPr>
          <w:rtl/>
        </w:rPr>
      </w:pPr>
    </w:p>
    <w:p w:rsidR="00282F22" w:rsidRDefault="00282F22" w:rsidP="00282F22">
      <w:pPr>
        <w:pStyle w:val="Ruller4"/>
        <w:rPr>
          <w:rtl/>
        </w:rPr>
      </w:pPr>
      <w:r>
        <w:rPr>
          <w:rFonts w:hint="cs"/>
          <w:rtl/>
        </w:rPr>
        <w:t xml:space="preserve">אלא מאי, לצורך הפעלת הסמכות להעברת דירקטור מתפקידו בשל כך שהוא אינו ממלא את תפקידו כראוי, נדרשת הנחת </w:t>
      </w:r>
      <w:r w:rsidRPr="007802F6">
        <w:rPr>
          <w:rFonts w:ascii="Century" w:hAnsi="Century" w:cs="Miriam" w:hint="cs"/>
          <w:b/>
          <w:spacing w:val="0"/>
          <w:sz w:val="22"/>
          <w:szCs w:val="24"/>
          <w:rtl/>
        </w:rPr>
        <w:t xml:space="preserve">תשתית </w:t>
      </w:r>
      <w:r>
        <w:rPr>
          <w:rFonts w:ascii="Century" w:hAnsi="Century" w:cs="Miriam" w:hint="cs"/>
          <w:b/>
          <w:spacing w:val="0"/>
          <w:sz w:val="22"/>
          <w:szCs w:val="24"/>
          <w:rtl/>
        </w:rPr>
        <w:t xml:space="preserve">מוצקה, </w:t>
      </w:r>
      <w:r w:rsidRPr="007802F6">
        <w:rPr>
          <w:rFonts w:ascii="Century" w:hAnsi="Century" w:cs="Miriam" w:hint="cs"/>
          <w:b/>
          <w:spacing w:val="0"/>
          <w:sz w:val="22"/>
          <w:szCs w:val="24"/>
          <w:rtl/>
        </w:rPr>
        <w:t>מבוססת וברורה</w:t>
      </w:r>
      <w:r w:rsidRPr="007802F6">
        <w:rPr>
          <w:rFonts w:hint="cs"/>
          <w:rtl/>
        </w:rPr>
        <w:t xml:space="preserve"> </w:t>
      </w:r>
      <w:r>
        <w:rPr>
          <w:rFonts w:hint="cs"/>
          <w:rtl/>
        </w:rPr>
        <w:t xml:space="preserve">בדבר סטייה מההתנהלות המצופה מדירקטור. העובדה שמדובר בסמכות הנתונה במקביל הן לרשות והן לשרים, וכי לצורך הפעלתה על ידי השרים נדרשת התייעצות עם הרשות, מדגישה כי נדרשת תשתית עובדתית הנסמכת על תפקודו </w:t>
      </w:r>
      <w:r w:rsidRPr="00C70088">
        <w:rPr>
          <w:rFonts w:ascii="Century" w:hAnsi="Century" w:cs="Miriam" w:hint="cs"/>
          <w:b/>
          <w:spacing w:val="0"/>
          <w:sz w:val="22"/>
          <w:szCs w:val="24"/>
          <w:rtl/>
        </w:rPr>
        <w:t>המקצועי</w:t>
      </w:r>
      <w:r w:rsidRPr="00C70088">
        <w:rPr>
          <w:rFonts w:hint="cs"/>
          <w:rtl/>
        </w:rPr>
        <w:t xml:space="preserve"> </w:t>
      </w:r>
      <w:r>
        <w:rPr>
          <w:rFonts w:hint="cs"/>
          <w:rtl/>
        </w:rPr>
        <w:t xml:space="preserve">של הדירקטור לצורך העברתו מתפקידו לפי עילה זו. ככל החלטה </w:t>
      </w:r>
      <w:proofErr w:type="spellStart"/>
      <w:r>
        <w:rPr>
          <w:rFonts w:hint="cs"/>
          <w:rtl/>
        </w:rPr>
        <w:t>מינהלית</w:t>
      </w:r>
      <w:proofErr w:type="spellEnd"/>
      <w:r>
        <w:rPr>
          <w:rFonts w:hint="cs"/>
          <w:rtl/>
        </w:rPr>
        <w:t>, גם החלטה זו צריכה להתבסס על תשתית עובדתית ראויה ובדוקה, בהתייחס לכלל הנתונים המרכזיים והדרושים לשם קבלתה.</w:t>
      </w:r>
    </w:p>
    <w:p w:rsidR="00282F22" w:rsidRDefault="00282F22" w:rsidP="00282F22">
      <w:pPr>
        <w:pStyle w:val="Ruller41"/>
        <w:rPr>
          <w:rtl/>
        </w:rPr>
      </w:pPr>
    </w:p>
    <w:p w:rsidR="00282F22" w:rsidRDefault="00282F22" w:rsidP="00282F22">
      <w:pPr>
        <w:pStyle w:val="Ruller4"/>
        <w:numPr>
          <w:ilvl w:val="0"/>
          <w:numId w:val="0"/>
        </w:numPr>
        <w:rPr>
          <w:rtl/>
        </w:rPr>
      </w:pPr>
      <w:r>
        <w:rPr>
          <w:rtl/>
        </w:rPr>
        <w:tab/>
      </w:r>
      <w:r>
        <w:rPr>
          <w:rFonts w:hint="cs"/>
          <w:rtl/>
        </w:rPr>
        <w:t xml:space="preserve">בעניין זה אעיר במאמר מוסגר כי גם לא מצאתי ממש בטענת </w:t>
      </w:r>
      <w:r w:rsidRPr="0071148A">
        <w:rPr>
          <w:rFonts w:hint="cs"/>
          <w:rtl/>
        </w:rPr>
        <w:t>העותרים</w:t>
      </w:r>
      <w:r>
        <w:rPr>
          <w:rFonts w:hint="cs"/>
          <w:rtl/>
        </w:rPr>
        <w:t xml:space="preserve"> כי הסעיף האמור כלל לא מקנה סמכות להעברת יו"ר דירקטוריון מתפקידו אלא להעברת דירקטור בלבד. יו"ר דירקטוריון הוא בראש ובראשונה אחד מהדירקטורים המכהנים בדירקטוריון. מעבר לכך, כפי שגם ציינו השרים, הדבר עולה בפשטות מהוראת סעיף 33ד(ב)(1) לחוק הקובעת כך:</w:t>
      </w:r>
    </w:p>
    <w:p w:rsidR="00282F22" w:rsidRDefault="00282F22" w:rsidP="00282F22">
      <w:pPr>
        <w:pStyle w:val="Ruller41"/>
        <w:rPr>
          <w:rtl/>
        </w:rPr>
      </w:pPr>
    </w:p>
    <w:p w:rsidR="00282F22" w:rsidRPr="004F5B12" w:rsidRDefault="00282F22" w:rsidP="00282F22">
      <w:pPr>
        <w:pStyle w:val="Ruller5"/>
        <w:rPr>
          <w:rtl/>
        </w:rPr>
      </w:pPr>
      <w:r>
        <w:rPr>
          <w:rFonts w:hint="cs"/>
          <w:rtl/>
        </w:rPr>
        <w:t>"</w:t>
      </w:r>
      <w:r w:rsidRPr="004F5B12">
        <w:rPr>
          <w:rFonts w:hint="eastAsia"/>
          <w:rtl/>
        </w:rPr>
        <w:t>ידע</w:t>
      </w:r>
      <w:r w:rsidRPr="004F5B12">
        <w:rPr>
          <w:rtl/>
        </w:rPr>
        <w:t xml:space="preserve"> </w:t>
      </w:r>
      <w:r w:rsidRPr="00BA5B07">
        <w:rPr>
          <w:rFonts w:ascii="Century" w:hAnsi="Century" w:cs="Miriam" w:hint="eastAsia"/>
          <w:b/>
          <w:spacing w:val="0"/>
          <w:szCs w:val="24"/>
          <w:rtl/>
        </w:rPr>
        <w:t>יושב</w:t>
      </w:r>
      <w:r w:rsidRPr="00BA5B07">
        <w:rPr>
          <w:rFonts w:ascii="Century" w:hAnsi="Century" w:cs="Miriam"/>
          <w:b/>
          <w:spacing w:val="0"/>
          <w:szCs w:val="24"/>
          <w:rtl/>
        </w:rPr>
        <w:t xml:space="preserve"> </w:t>
      </w:r>
      <w:r w:rsidRPr="00BA5B07">
        <w:rPr>
          <w:rFonts w:ascii="Century" w:hAnsi="Century" w:cs="Miriam" w:hint="eastAsia"/>
          <w:b/>
          <w:spacing w:val="0"/>
          <w:szCs w:val="24"/>
          <w:rtl/>
        </w:rPr>
        <w:t>ראש</w:t>
      </w:r>
      <w:r w:rsidRPr="00BA5B07">
        <w:rPr>
          <w:rFonts w:ascii="Century" w:hAnsi="Century" w:cs="Miriam"/>
          <w:b/>
          <w:spacing w:val="0"/>
          <w:szCs w:val="24"/>
          <w:rtl/>
        </w:rPr>
        <w:t xml:space="preserve"> </w:t>
      </w:r>
      <w:r w:rsidRPr="00BA5B07">
        <w:rPr>
          <w:rFonts w:ascii="Century" w:hAnsi="Century" w:cs="Miriam" w:hint="eastAsia"/>
          <w:b/>
          <w:spacing w:val="0"/>
          <w:szCs w:val="24"/>
          <w:rtl/>
        </w:rPr>
        <w:t>הדירקטוריון</w:t>
      </w:r>
      <w:r w:rsidRPr="00BA5B07">
        <w:rPr>
          <w:rtl/>
        </w:rPr>
        <w:t xml:space="preserve"> </w:t>
      </w:r>
      <w:r w:rsidRPr="004F5B12">
        <w:rPr>
          <w:rFonts w:hint="eastAsia"/>
          <w:rtl/>
        </w:rPr>
        <w:t>כי</w:t>
      </w:r>
      <w:r w:rsidRPr="004F5B12">
        <w:rPr>
          <w:rtl/>
        </w:rPr>
        <w:t xml:space="preserve"> </w:t>
      </w:r>
      <w:r w:rsidRPr="004F5B12">
        <w:rPr>
          <w:rFonts w:hint="eastAsia"/>
          <w:rtl/>
        </w:rPr>
        <w:t>החברה</w:t>
      </w:r>
      <w:r w:rsidRPr="004F5B12">
        <w:rPr>
          <w:rtl/>
        </w:rPr>
        <w:t xml:space="preserve"> </w:t>
      </w:r>
      <w:r w:rsidRPr="004F5B12">
        <w:rPr>
          <w:rFonts w:hint="eastAsia"/>
          <w:rtl/>
        </w:rPr>
        <w:t>פעלה</w:t>
      </w:r>
      <w:r w:rsidRPr="004F5B12">
        <w:rPr>
          <w:rtl/>
        </w:rPr>
        <w:t xml:space="preserve"> </w:t>
      </w:r>
      <w:r w:rsidRPr="004F5B12">
        <w:rPr>
          <w:rFonts w:hint="eastAsia"/>
          <w:rtl/>
        </w:rPr>
        <w:t>כאמור</w:t>
      </w:r>
      <w:r w:rsidRPr="004F5B12">
        <w:rPr>
          <w:rtl/>
        </w:rPr>
        <w:t xml:space="preserve"> </w:t>
      </w:r>
      <w:r w:rsidRPr="004F5B12">
        <w:rPr>
          <w:rFonts w:hint="eastAsia"/>
          <w:rtl/>
        </w:rPr>
        <w:t>בסעיף</w:t>
      </w:r>
      <w:r w:rsidRPr="004F5B12">
        <w:rPr>
          <w:rtl/>
        </w:rPr>
        <w:t xml:space="preserve"> </w:t>
      </w:r>
      <w:r w:rsidRPr="004F5B12">
        <w:rPr>
          <w:rFonts w:hint="eastAsia"/>
          <w:rtl/>
        </w:rPr>
        <w:t>קטן</w:t>
      </w:r>
      <w:r w:rsidRPr="004F5B12">
        <w:rPr>
          <w:rtl/>
        </w:rPr>
        <w:t xml:space="preserve"> (</w:t>
      </w:r>
      <w:r w:rsidRPr="004F5B12">
        <w:rPr>
          <w:rFonts w:hint="eastAsia"/>
          <w:rtl/>
        </w:rPr>
        <w:t>א</w:t>
      </w:r>
      <w:r w:rsidRPr="004F5B12">
        <w:rPr>
          <w:rtl/>
        </w:rPr>
        <w:t xml:space="preserve">)(1) </w:t>
      </w:r>
      <w:r w:rsidRPr="004F5B12">
        <w:rPr>
          <w:rFonts w:hint="eastAsia"/>
          <w:rtl/>
        </w:rPr>
        <w:t>או</w:t>
      </w:r>
      <w:r w:rsidRPr="004F5B12">
        <w:rPr>
          <w:rtl/>
        </w:rPr>
        <w:t xml:space="preserve"> (3) </w:t>
      </w:r>
      <w:r w:rsidRPr="004F5B12">
        <w:rPr>
          <w:rFonts w:hint="eastAsia"/>
          <w:rtl/>
        </w:rPr>
        <w:t>או</w:t>
      </w:r>
      <w:r w:rsidRPr="004F5B12">
        <w:rPr>
          <w:rtl/>
        </w:rPr>
        <w:t xml:space="preserve"> </w:t>
      </w:r>
      <w:r w:rsidRPr="004F5B12">
        <w:rPr>
          <w:rFonts w:hint="eastAsia"/>
          <w:rtl/>
        </w:rPr>
        <w:t>ידע</w:t>
      </w:r>
      <w:r w:rsidRPr="004F5B12">
        <w:rPr>
          <w:rtl/>
        </w:rPr>
        <w:t xml:space="preserve"> </w:t>
      </w:r>
      <w:r w:rsidRPr="00BA5B07">
        <w:rPr>
          <w:rFonts w:ascii="Century" w:hAnsi="Century" w:cs="Miriam" w:hint="eastAsia"/>
          <w:b/>
          <w:spacing w:val="0"/>
          <w:szCs w:val="24"/>
          <w:rtl/>
        </w:rPr>
        <w:t>דירקטור</w:t>
      </w:r>
      <w:r w:rsidRPr="00BA5B07">
        <w:rPr>
          <w:rtl/>
        </w:rPr>
        <w:t xml:space="preserve"> </w:t>
      </w:r>
      <w:r w:rsidRPr="004F5B12">
        <w:rPr>
          <w:rFonts w:hint="eastAsia"/>
          <w:rtl/>
        </w:rPr>
        <w:t>כי</w:t>
      </w:r>
      <w:r w:rsidRPr="004F5B12">
        <w:rPr>
          <w:rtl/>
        </w:rPr>
        <w:t xml:space="preserve"> </w:t>
      </w:r>
      <w:r w:rsidRPr="004F5B12">
        <w:rPr>
          <w:rFonts w:hint="eastAsia"/>
          <w:rtl/>
        </w:rPr>
        <w:t>החברה</w:t>
      </w:r>
      <w:r w:rsidRPr="004F5B12">
        <w:rPr>
          <w:rtl/>
        </w:rPr>
        <w:t xml:space="preserve"> </w:t>
      </w:r>
      <w:r w:rsidRPr="004F5B12">
        <w:rPr>
          <w:rFonts w:hint="eastAsia"/>
          <w:rtl/>
        </w:rPr>
        <w:t>פעלה</w:t>
      </w:r>
      <w:r w:rsidRPr="004F5B12">
        <w:rPr>
          <w:rtl/>
        </w:rPr>
        <w:t xml:space="preserve"> </w:t>
      </w:r>
      <w:r w:rsidRPr="004F5B12">
        <w:rPr>
          <w:rFonts w:hint="eastAsia"/>
          <w:rtl/>
        </w:rPr>
        <w:t>כאמור</w:t>
      </w:r>
      <w:r w:rsidRPr="004F5B12">
        <w:rPr>
          <w:rtl/>
        </w:rPr>
        <w:t xml:space="preserve"> </w:t>
      </w:r>
      <w:r w:rsidRPr="004F5B12">
        <w:rPr>
          <w:rFonts w:hint="eastAsia"/>
          <w:rtl/>
        </w:rPr>
        <w:t>בסעיף</w:t>
      </w:r>
      <w:r w:rsidRPr="004F5B12">
        <w:rPr>
          <w:rtl/>
        </w:rPr>
        <w:t xml:space="preserve"> </w:t>
      </w:r>
      <w:r w:rsidRPr="004F5B12">
        <w:rPr>
          <w:rFonts w:hint="eastAsia"/>
          <w:rtl/>
        </w:rPr>
        <w:t>קטן</w:t>
      </w:r>
      <w:r w:rsidRPr="004F5B12">
        <w:rPr>
          <w:rtl/>
        </w:rPr>
        <w:t xml:space="preserve"> (</w:t>
      </w:r>
      <w:r w:rsidRPr="004F5B12">
        <w:rPr>
          <w:rFonts w:hint="eastAsia"/>
          <w:rtl/>
        </w:rPr>
        <w:t>א</w:t>
      </w:r>
      <w:r w:rsidRPr="004F5B12">
        <w:rPr>
          <w:rtl/>
        </w:rPr>
        <w:t xml:space="preserve">)(2) </w:t>
      </w:r>
      <w:r w:rsidRPr="004F5B12">
        <w:rPr>
          <w:rFonts w:hint="eastAsia"/>
          <w:rtl/>
        </w:rPr>
        <w:t>או</w:t>
      </w:r>
      <w:r w:rsidRPr="004F5B12">
        <w:rPr>
          <w:rtl/>
        </w:rPr>
        <w:t xml:space="preserve"> (3), </w:t>
      </w:r>
      <w:r w:rsidRPr="004F5B12">
        <w:rPr>
          <w:rFonts w:hint="eastAsia"/>
          <w:rtl/>
        </w:rPr>
        <w:t>או</w:t>
      </w:r>
      <w:r w:rsidRPr="004F5B12">
        <w:rPr>
          <w:rtl/>
        </w:rPr>
        <w:t xml:space="preserve"> </w:t>
      </w:r>
      <w:r w:rsidRPr="004F5B12">
        <w:rPr>
          <w:rFonts w:hint="eastAsia"/>
          <w:rtl/>
        </w:rPr>
        <w:t>היה</w:t>
      </w:r>
      <w:r w:rsidRPr="004F5B12">
        <w:rPr>
          <w:rtl/>
        </w:rPr>
        <w:t xml:space="preserve"> </w:t>
      </w:r>
      <w:r w:rsidRPr="004F5B12">
        <w:rPr>
          <w:rFonts w:hint="eastAsia"/>
          <w:rtl/>
        </w:rPr>
        <w:t>עליהם</w:t>
      </w:r>
      <w:r w:rsidRPr="004F5B12">
        <w:rPr>
          <w:rtl/>
        </w:rPr>
        <w:t xml:space="preserve"> </w:t>
      </w:r>
      <w:r w:rsidRPr="004F5B12">
        <w:rPr>
          <w:rFonts w:hint="eastAsia"/>
          <w:rtl/>
        </w:rPr>
        <w:t>לדעת</w:t>
      </w:r>
      <w:r w:rsidRPr="004F5B12">
        <w:rPr>
          <w:rtl/>
        </w:rPr>
        <w:t xml:space="preserve"> </w:t>
      </w:r>
      <w:r w:rsidRPr="004F5B12">
        <w:rPr>
          <w:rFonts w:hint="eastAsia"/>
          <w:rtl/>
        </w:rPr>
        <w:t>על</w:t>
      </w:r>
      <w:r w:rsidRPr="004F5B12">
        <w:rPr>
          <w:rtl/>
        </w:rPr>
        <w:t xml:space="preserve"> </w:t>
      </w:r>
      <w:r w:rsidRPr="004F5B12">
        <w:rPr>
          <w:rFonts w:hint="eastAsia"/>
          <w:rtl/>
        </w:rPr>
        <w:t>כך</w:t>
      </w:r>
      <w:r w:rsidRPr="004F5B12">
        <w:rPr>
          <w:rtl/>
        </w:rPr>
        <w:t xml:space="preserve"> </w:t>
      </w:r>
      <w:r w:rsidRPr="004F5B12">
        <w:rPr>
          <w:rFonts w:hint="eastAsia"/>
          <w:rtl/>
        </w:rPr>
        <w:t>ולא</w:t>
      </w:r>
      <w:r w:rsidRPr="004F5B12">
        <w:rPr>
          <w:rtl/>
        </w:rPr>
        <w:t xml:space="preserve"> </w:t>
      </w:r>
      <w:r w:rsidRPr="004F5B12">
        <w:rPr>
          <w:rFonts w:hint="eastAsia"/>
          <w:rtl/>
        </w:rPr>
        <w:t>נקטו</w:t>
      </w:r>
      <w:r w:rsidRPr="004F5B12">
        <w:rPr>
          <w:rtl/>
        </w:rPr>
        <w:t xml:space="preserve"> </w:t>
      </w:r>
      <w:r w:rsidRPr="004F5B12">
        <w:rPr>
          <w:rFonts w:hint="eastAsia"/>
          <w:rtl/>
        </w:rPr>
        <w:t>את</w:t>
      </w:r>
      <w:r w:rsidRPr="004F5B12">
        <w:rPr>
          <w:rtl/>
        </w:rPr>
        <w:t xml:space="preserve"> </w:t>
      </w:r>
      <w:r w:rsidRPr="004F5B12">
        <w:rPr>
          <w:rFonts w:hint="eastAsia"/>
          <w:rtl/>
        </w:rPr>
        <w:t>כל</w:t>
      </w:r>
      <w:r w:rsidRPr="004F5B12">
        <w:rPr>
          <w:rtl/>
        </w:rPr>
        <w:t xml:space="preserve"> </w:t>
      </w:r>
      <w:r w:rsidRPr="004F5B12">
        <w:rPr>
          <w:rFonts w:hint="eastAsia"/>
          <w:rtl/>
        </w:rPr>
        <w:t>האמצעים</w:t>
      </w:r>
      <w:r w:rsidRPr="004F5B12">
        <w:rPr>
          <w:rtl/>
        </w:rPr>
        <w:t xml:space="preserve"> </w:t>
      </w:r>
      <w:r w:rsidRPr="004F5B12">
        <w:rPr>
          <w:rFonts w:hint="eastAsia"/>
          <w:rtl/>
        </w:rPr>
        <w:t>הנאותים</w:t>
      </w:r>
      <w:r w:rsidRPr="004F5B12">
        <w:rPr>
          <w:rtl/>
        </w:rPr>
        <w:t xml:space="preserve"> </w:t>
      </w:r>
      <w:r w:rsidRPr="004F5B12">
        <w:rPr>
          <w:rFonts w:hint="eastAsia"/>
          <w:rtl/>
        </w:rPr>
        <w:t>כדי</w:t>
      </w:r>
      <w:r w:rsidRPr="004F5B12">
        <w:rPr>
          <w:rtl/>
        </w:rPr>
        <w:t xml:space="preserve"> </w:t>
      </w:r>
      <w:r w:rsidRPr="004F5B12">
        <w:rPr>
          <w:rFonts w:hint="eastAsia"/>
          <w:rtl/>
        </w:rPr>
        <w:t>למנוע</w:t>
      </w:r>
      <w:r w:rsidRPr="004F5B12">
        <w:rPr>
          <w:rtl/>
        </w:rPr>
        <w:t xml:space="preserve"> </w:t>
      </w:r>
      <w:r w:rsidRPr="004F5B12">
        <w:rPr>
          <w:rFonts w:hint="eastAsia"/>
          <w:rtl/>
        </w:rPr>
        <w:t>זאת</w:t>
      </w:r>
      <w:r w:rsidRPr="004F5B12">
        <w:rPr>
          <w:rtl/>
        </w:rPr>
        <w:t xml:space="preserve">, </w:t>
      </w:r>
      <w:r w:rsidRPr="00BA5B07">
        <w:rPr>
          <w:rFonts w:ascii="Century" w:hAnsi="Century" w:cs="Miriam" w:hint="eastAsia"/>
          <w:b/>
          <w:spacing w:val="0"/>
          <w:szCs w:val="24"/>
          <w:rtl/>
        </w:rPr>
        <w:t>יראו</w:t>
      </w:r>
      <w:r w:rsidRPr="00BA5B07">
        <w:rPr>
          <w:rFonts w:ascii="Century" w:hAnsi="Century" w:cs="Miriam"/>
          <w:b/>
          <w:spacing w:val="0"/>
          <w:szCs w:val="24"/>
          <w:rtl/>
        </w:rPr>
        <w:t xml:space="preserve"> </w:t>
      </w:r>
      <w:r w:rsidRPr="00BA5B07">
        <w:rPr>
          <w:rFonts w:ascii="Century" w:hAnsi="Century" w:cs="Miriam" w:hint="eastAsia"/>
          <w:b/>
          <w:spacing w:val="0"/>
          <w:szCs w:val="24"/>
          <w:rtl/>
        </w:rPr>
        <w:t>אותם</w:t>
      </w:r>
      <w:r w:rsidRPr="00BA5B07">
        <w:rPr>
          <w:rFonts w:ascii="Century" w:hAnsi="Century" w:cs="Miriam"/>
          <w:b/>
          <w:spacing w:val="0"/>
          <w:szCs w:val="24"/>
          <w:rtl/>
        </w:rPr>
        <w:t xml:space="preserve"> </w:t>
      </w:r>
      <w:proofErr w:type="spellStart"/>
      <w:r w:rsidRPr="00BA5B07">
        <w:rPr>
          <w:rFonts w:ascii="Century" w:hAnsi="Century" w:cs="Miriam" w:hint="eastAsia"/>
          <w:b/>
          <w:spacing w:val="0"/>
          <w:szCs w:val="24"/>
          <w:rtl/>
        </w:rPr>
        <w:t>לענין</w:t>
      </w:r>
      <w:proofErr w:type="spellEnd"/>
      <w:r w:rsidRPr="00BA5B07">
        <w:rPr>
          <w:rFonts w:ascii="Century" w:hAnsi="Century" w:cs="Miriam"/>
          <w:b/>
          <w:spacing w:val="0"/>
          <w:szCs w:val="24"/>
          <w:rtl/>
        </w:rPr>
        <w:t xml:space="preserve"> </w:t>
      </w:r>
      <w:r w:rsidRPr="00BA5B07">
        <w:rPr>
          <w:rFonts w:ascii="Century" w:hAnsi="Century" w:cs="Miriam" w:hint="eastAsia"/>
          <w:b/>
          <w:spacing w:val="0"/>
          <w:szCs w:val="24"/>
          <w:rtl/>
        </w:rPr>
        <w:t>סעיף</w:t>
      </w:r>
      <w:r w:rsidRPr="00BA5B07">
        <w:rPr>
          <w:rFonts w:ascii="Century" w:hAnsi="Century" w:cs="Miriam"/>
          <w:b/>
          <w:spacing w:val="0"/>
          <w:szCs w:val="24"/>
          <w:rtl/>
        </w:rPr>
        <w:t xml:space="preserve"> 22(</w:t>
      </w:r>
      <w:r w:rsidRPr="00BA5B07">
        <w:rPr>
          <w:rFonts w:ascii="Century" w:hAnsi="Century" w:cs="Miriam" w:hint="eastAsia"/>
          <w:b/>
          <w:spacing w:val="0"/>
          <w:szCs w:val="24"/>
          <w:rtl/>
        </w:rPr>
        <w:t>א</w:t>
      </w:r>
      <w:r w:rsidRPr="00BA5B07">
        <w:rPr>
          <w:rFonts w:ascii="Century" w:hAnsi="Century" w:cs="Miriam"/>
          <w:b/>
          <w:spacing w:val="0"/>
          <w:szCs w:val="24"/>
          <w:rtl/>
        </w:rPr>
        <w:t xml:space="preserve">)(6) </w:t>
      </w:r>
      <w:r w:rsidRPr="00BA5B07">
        <w:rPr>
          <w:rFonts w:ascii="Century" w:hAnsi="Century" w:cs="Miriam" w:hint="eastAsia"/>
          <w:b/>
          <w:spacing w:val="0"/>
          <w:szCs w:val="24"/>
          <w:rtl/>
        </w:rPr>
        <w:t>כמי</w:t>
      </w:r>
      <w:r w:rsidRPr="00BA5B07">
        <w:rPr>
          <w:rFonts w:ascii="Century" w:hAnsi="Century" w:cs="Miriam"/>
          <w:b/>
          <w:spacing w:val="0"/>
          <w:szCs w:val="24"/>
          <w:rtl/>
        </w:rPr>
        <w:t xml:space="preserve"> </w:t>
      </w:r>
      <w:r w:rsidRPr="00BA5B07">
        <w:rPr>
          <w:rFonts w:ascii="Century" w:hAnsi="Century" w:cs="Miriam" w:hint="eastAsia"/>
          <w:b/>
          <w:spacing w:val="0"/>
          <w:szCs w:val="24"/>
          <w:rtl/>
        </w:rPr>
        <w:t>שאינם</w:t>
      </w:r>
      <w:r w:rsidRPr="00BA5B07">
        <w:rPr>
          <w:rFonts w:ascii="Century" w:hAnsi="Century" w:cs="Miriam"/>
          <w:b/>
          <w:spacing w:val="0"/>
          <w:szCs w:val="24"/>
          <w:rtl/>
        </w:rPr>
        <w:t xml:space="preserve"> </w:t>
      </w:r>
      <w:r w:rsidRPr="00BA5B07">
        <w:rPr>
          <w:rFonts w:ascii="Century" w:hAnsi="Century" w:cs="Miriam" w:hint="eastAsia"/>
          <w:b/>
          <w:spacing w:val="0"/>
          <w:szCs w:val="24"/>
          <w:rtl/>
        </w:rPr>
        <w:t>ממלאים</w:t>
      </w:r>
      <w:r w:rsidRPr="00BA5B07">
        <w:rPr>
          <w:rFonts w:ascii="Century" w:hAnsi="Century" w:cs="Miriam"/>
          <w:b/>
          <w:spacing w:val="0"/>
          <w:szCs w:val="24"/>
          <w:rtl/>
        </w:rPr>
        <w:t xml:space="preserve"> </w:t>
      </w:r>
      <w:r w:rsidRPr="00BA5B07">
        <w:rPr>
          <w:rFonts w:ascii="Century" w:hAnsi="Century" w:cs="Miriam" w:hint="eastAsia"/>
          <w:b/>
          <w:spacing w:val="0"/>
          <w:szCs w:val="24"/>
          <w:rtl/>
        </w:rPr>
        <w:t>תפקידם</w:t>
      </w:r>
      <w:r w:rsidRPr="00BA5B07">
        <w:rPr>
          <w:rFonts w:ascii="Century" w:hAnsi="Century" w:cs="Miriam"/>
          <w:b/>
          <w:spacing w:val="0"/>
          <w:szCs w:val="24"/>
          <w:rtl/>
        </w:rPr>
        <w:t xml:space="preserve"> </w:t>
      </w:r>
      <w:r w:rsidRPr="00BA5B07">
        <w:rPr>
          <w:rFonts w:ascii="Century" w:hAnsi="Century" w:cs="Miriam" w:hint="eastAsia"/>
          <w:b/>
          <w:spacing w:val="0"/>
          <w:szCs w:val="24"/>
          <w:rtl/>
        </w:rPr>
        <w:t>כראוי</w:t>
      </w:r>
      <w:r w:rsidRPr="004F5B12">
        <w:rPr>
          <w:rtl/>
        </w:rPr>
        <w:t xml:space="preserve">, </w:t>
      </w:r>
      <w:r w:rsidRPr="004F5B12">
        <w:rPr>
          <w:rFonts w:hint="eastAsia"/>
          <w:rtl/>
        </w:rPr>
        <w:t>ורשאית</w:t>
      </w:r>
      <w:r w:rsidRPr="004F5B12">
        <w:rPr>
          <w:rtl/>
        </w:rPr>
        <w:t xml:space="preserve"> </w:t>
      </w:r>
      <w:r w:rsidRPr="004F5B12">
        <w:rPr>
          <w:rFonts w:hint="eastAsia"/>
          <w:rtl/>
        </w:rPr>
        <w:t>הרשות</w:t>
      </w:r>
      <w:r w:rsidRPr="004F5B12">
        <w:rPr>
          <w:rtl/>
        </w:rPr>
        <w:t xml:space="preserve">, </w:t>
      </w:r>
      <w:r w:rsidRPr="004F5B12">
        <w:rPr>
          <w:rFonts w:hint="eastAsia"/>
          <w:rtl/>
        </w:rPr>
        <w:t>בהודעה</w:t>
      </w:r>
      <w:r w:rsidRPr="004F5B12">
        <w:rPr>
          <w:rtl/>
        </w:rPr>
        <w:t xml:space="preserve"> </w:t>
      </w:r>
      <w:r w:rsidRPr="004F5B12">
        <w:rPr>
          <w:rFonts w:hint="eastAsia"/>
          <w:rtl/>
        </w:rPr>
        <w:t>לחברה</w:t>
      </w:r>
      <w:r w:rsidRPr="004F5B12">
        <w:rPr>
          <w:rtl/>
        </w:rPr>
        <w:t xml:space="preserve">, </w:t>
      </w:r>
      <w:r w:rsidRPr="004F5B12">
        <w:rPr>
          <w:rFonts w:hint="eastAsia"/>
          <w:rtl/>
        </w:rPr>
        <w:t>להעבירם</w:t>
      </w:r>
      <w:r w:rsidRPr="004F5B12">
        <w:rPr>
          <w:rtl/>
        </w:rPr>
        <w:t xml:space="preserve"> </w:t>
      </w:r>
      <w:r w:rsidRPr="004F5B12">
        <w:rPr>
          <w:rFonts w:hint="eastAsia"/>
          <w:rtl/>
        </w:rPr>
        <w:t>מכהונתם</w:t>
      </w:r>
      <w:r>
        <w:rPr>
          <w:rFonts w:hint="cs"/>
          <w:rtl/>
        </w:rPr>
        <w:t>."</w:t>
      </w:r>
    </w:p>
    <w:p w:rsidR="00282F22" w:rsidRDefault="00282F22" w:rsidP="00282F22">
      <w:pPr>
        <w:pStyle w:val="Ruller41"/>
        <w:rPr>
          <w:rtl/>
        </w:rPr>
      </w:pPr>
    </w:p>
    <w:p w:rsidR="00282F22" w:rsidRDefault="00282F22" w:rsidP="00282F22">
      <w:pPr>
        <w:pStyle w:val="Ruller41"/>
        <w:rPr>
          <w:rtl/>
        </w:rPr>
      </w:pPr>
      <w:r>
        <w:rPr>
          <w:rtl/>
        </w:rPr>
        <w:tab/>
      </w:r>
      <w:r>
        <w:rPr>
          <w:rFonts w:hint="cs"/>
          <w:rtl/>
        </w:rPr>
        <w:t xml:space="preserve">היינו, גם </w:t>
      </w:r>
      <w:r w:rsidRPr="00BA5B07">
        <w:rPr>
          <w:rFonts w:ascii="Century" w:hAnsi="Century" w:cs="Miriam" w:hint="cs"/>
          <w:b/>
          <w:spacing w:val="0"/>
          <w:szCs w:val="24"/>
          <w:rtl/>
        </w:rPr>
        <w:t>יו"ר דירקטוריון</w:t>
      </w:r>
      <w:r>
        <w:rPr>
          <w:rFonts w:hint="cs"/>
          <w:rtl/>
        </w:rPr>
        <w:t>,</w:t>
      </w:r>
      <w:r w:rsidRPr="00BA5B07">
        <w:rPr>
          <w:rFonts w:hint="cs"/>
          <w:rtl/>
        </w:rPr>
        <w:t xml:space="preserve"> </w:t>
      </w:r>
      <w:r>
        <w:rPr>
          <w:rFonts w:hint="cs"/>
          <w:rtl/>
        </w:rPr>
        <w:t>ולא רק דירקטור, נמנה על מי שניתן לראותו כמי שאינו ממלא את תפקידו כראוי לפי הוראת סעיף 22(א)(6) לחוק.</w:t>
      </w:r>
    </w:p>
    <w:p w:rsidR="00282F22" w:rsidRDefault="00282F22" w:rsidP="00282F22">
      <w:pPr>
        <w:pStyle w:val="Ruller41"/>
        <w:rPr>
          <w:rtl/>
        </w:rPr>
      </w:pPr>
    </w:p>
    <w:p w:rsidR="00282F22" w:rsidRDefault="00282F22" w:rsidP="00282F22">
      <w:pPr>
        <w:pStyle w:val="Ruller4"/>
        <w:rPr>
          <w:rtl/>
        </w:rPr>
      </w:pPr>
      <w:r>
        <w:rPr>
          <w:rFonts w:hint="cs"/>
          <w:rtl/>
        </w:rPr>
        <w:t xml:space="preserve">נוסף על התשתית הנדרשת </w:t>
      </w:r>
      <w:r w:rsidR="000251FE">
        <w:rPr>
          <w:rFonts w:hint="cs"/>
          <w:rtl/>
        </w:rPr>
        <w:t>ל</w:t>
      </w:r>
      <w:r>
        <w:rPr>
          <w:rFonts w:hint="cs"/>
          <w:rtl/>
        </w:rPr>
        <w:t xml:space="preserve">הפעלת הסמכות על ידי השרים לפי סעיף 22(א)(6) לחוק, נדרשת על פי הסעיף גם </w:t>
      </w:r>
      <w:r w:rsidRPr="00A72923">
        <w:rPr>
          <w:rFonts w:ascii="Century" w:hAnsi="Century" w:cs="Miriam" w:hint="cs"/>
          <w:b/>
          <w:spacing w:val="0"/>
          <w:sz w:val="22"/>
          <w:szCs w:val="24"/>
          <w:rtl/>
        </w:rPr>
        <w:t xml:space="preserve">היוועצות </w:t>
      </w:r>
      <w:r>
        <w:rPr>
          <w:rFonts w:hint="cs"/>
          <w:rtl/>
        </w:rPr>
        <w:t xml:space="preserve">עם רשות החברות הממשלתיות. בהקשר זה נקבע מימים ימימה כי על היוועצות סטטוטורית להיות כנה, ממשית, "בלב פתוח ובנפש חפצה" </w:t>
      </w:r>
      <w:r w:rsidRPr="00A72923">
        <w:rPr>
          <w:rFonts w:ascii="Century" w:hAnsi="Century" w:hint="cs"/>
          <w:sz w:val="22"/>
          <w:rtl/>
        </w:rPr>
        <w:t>(</w:t>
      </w:r>
      <w:r w:rsidRPr="00A72923">
        <w:rPr>
          <w:rFonts w:ascii="Century" w:hAnsi="Century" w:hint="eastAsia"/>
          <w:sz w:val="22"/>
          <w:rtl/>
        </w:rPr>
        <w:t>בג</w:t>
      </w:r>
      <w:r w:rsidRPr="00A72923">
        <w:rPr>
          <w:rFonts w:ascii="Century" w:hAnsi="Century" w:hint="cs"/>
          <w:sz w:val="22"/>
          <w:rtl/>
        </w:rPr>
        <w:t>"</w:t>
      </w:r>
      <w:r w:rsidRPr="00A72923">
        <w:rPr>
          <w:rFonts w:ascii="Century" w:hAnsi="Century" w:hint="eastAsia"/>
          <w:sz w:val="22"/>
          <w:rtl/>
        </w:rPr>
        <w:t>ץ</w:t>
      </w:r>
      <w:r w:rsidRPr="00A72923">
        <w:rPr>
          <w:rFonts w:ascii="Century" w:hAnsi="Century"/>
          <w:sz w:val="22"/>
          <w:rtl/>
        </w:rPr>
        <w:t xml:space="preserve"> 653/79</w:t>
      </w:r>
      <w:r>
        <w:rPr>
          <w:rFonts w:ascii="Century" w:hAnsi="Century" w:hint="cs"/>
          <w:sz w:val="22"/>
          <w:rtl/>
        </w:rPr>
        <w:t xml:space="preserve"> </w:t>
      </w:r>
      <w:r w:rsidRPr="00A72923">
        <w:rPr>
          <w:rFonts w:ascii="Century" w:hAnsi="Century" w:cs="Miriam" w:hint="eastAsia"/>
          <w:b/>
          <w:spacing w:val="0"/>
          <w:sz w:val="22"/>
          <w:szCs w:val="24"/>
          <w:rtl/>
        </w:rPr>
        <w:t>עזריאל</w:t>
      </w:r>
      <w:r w:rsidRPr="00A72923">
        <w:rPr>
          <w:rFonts w:ascii="Century" w:hAnsi="Century" w:cs="Miriam"/>
          <w:b/>
          <w:spacing w:val="0"/>
          <w:sz w:val="22"/>
          <w:szCs w:val="24"/>
          <w:rtl/>
        </w:rPr>
        <w:t xml:space="preserve"> </w:t>
      </w:r>
      <w:r w:rsidRPr="00A72923">
        <w:rPr>
          <w:rFonts w:ascii="Century" w:hAnsi="Century" w:cs="Miriam" w:hint="eastAsia"/>
          <w:b/>
          <w:spacing w:val="0"/>
          <w:sz w:val="22"/>
          <w:szCs w:val="24"/>
          <w:rtl/>
        </w:rPr>
        <w:t>נ</w:t>
      </w:r>
      <w:r w:rsidRPr="00A72923">
        <w:rPr>
          <w:rFonts w:ascii="Century" w:hAnsi="Century" w:cs="Miriam"/>
          <w:b/>
          <w:spacing w:val="0"/>
          <w:sz w:val="22"/>
          <w:szCs w:val="24"/>
          <w:rtl/>
        </w:rPr>
        <w:t xml:space="preserve">' </w:t>
      </w:r>
      <w:r w:rsidRPr="00A72923">
        <w:rPr>
          <w:rFonts w:ascii="Century" w:hAnsi="Century" w:cs="Miriam" w:hint="eastAsia"/>
          <w:b/>
          <w:spacing w:val="0"/>
          <w:sz w:val="22"/>
          <w:szCs w:val="24"/>
          <w:rtl/>
        </w:rPr>
        <w:t>מנהל</w:t>
      </w:r>
      <w:r w:rsidRPr="00A72923">
        <w:rPr>
          <w:rFonts w:ascii="Century" w:hAnsi="Century" w:cs="Miriam"/>
          <w:b/>
          <w:spacing w:val="0"/>
          <w:sz w:val="22"/>
          <w:szCs w:val="24"/>
          <w:rtl/>
        </w:rPr>
        <w:t xml:space="preserve"> </w:t>
      </w:r>
      <w:r w:rsidRPr="00A72923">
        <w:rPr>
          <w:rFonts w:ascii="Century" w:hAnsi="Century" w:cs="Miriam" w:hint="eastAsia"/>
          <w:b/>
          <w:spacing w:val="0"/>
          <w:sz w:val="22"/>
          <w:szCs w:val="24"/>
          <w:rtl/>
        </w:rPr>
        <w:t>אגף</w:t>
      </w:r>
      <w:r w:rsidRPr="00A72923">
        <w:rPr>
          <w:rFonts w:ascii="Century" w:hAnsi="Century" w:cs="Miriam"/>
          <w:b/>
          <w:spacing w:val="0"/>
          <w:sz w:val="22"/>
          <w:szCs w:val="24"/>
          <w:rtl/>
        </w:rPr>
        <w:t xml:space="preserve"> </w:t>
      </w:r>
      <w:r w:rsidRPr="00A72923">
        <w:rPr>
          <w:rFonts w:ascii="Century" w:hAnsi="Century" w:cs="Miriam" w:hint="eastAsia"/>
          <w:b/>
          <w:spacing w:val="0"/>
          <w:sz w:val="22"/>
          <w:szCs w:val="24"/>
          <w:rtl/>
        </w:rPr>
        <w:t>הרישוי</w:t>
      </w:r>
      <w:r w:rsidRPr="00A72923">
        <w:rPr>
          <w:rFonts w:ascii="Century" w:hAnsi="Century" w:cs="Miriam"/>
          <w:b/>
          <w:spacing w:val="0"/>
          <w:sz w:val="22"/>
          <w:szCs w:val="24"/>
          <w:rtl/>
        </w:rPr>
        <w:t xml:space="preserve">, </w:t>
      </w:r>
      <w:r w:rsidRPr="00A72923">
        <w:rPr>
          <w:rFonts w:ascii="Century" w:hAnsi="Century" w:cs="Miriam" w:hint="eastAsia"/>
          <w:b/>
          <w:spacing w:val="0"/>
          <w:sz w:val="22"/>
          <w:szCs w:val="24"/>
          <w:rtl/>
        </w:rPr>
        <w:t>משרד</w:t>
      </w:r>
      <w:r w:rsidRPr="00A72923">
        <w:rPr>
          <w:rFonts w:ascii="Century" w:hAnsi="Century" w:cs="Miriam"/>
          <w:b/>
          <w:spacing w:val="0"/>
          <w:sz w:val="22"/>
          <w:szCs w:val="24"/>
          <w:rtl/>
        </w:rPr>
        <w:t xml:space="preserve"> </w:t>
      </w:r>
      <w:r w:rsidRPr="00A72923">
        <w:rPr>
          <w:rFonts w:ascii="Century" w:hAnsi="Century" w:cs="Miriam" w:hint="eastAsia"/>
          <w:b/>
          <w:spacing w:val="0"/>
          <w:sz w:val="22"/>
          <w:szCs w:val="24"/>
          <w:rtl/>
        </w:rPr>
        <w:t>התחבור</w:t>
      </w:r>
      <w:r w:rsidRPr="00A72923">
        <w:rPr>
          <w:rFonts w:ascii="Century" w:hAnsi="Century" w:cs="Miriam" w:hint="cs"/>
          <w:b/>
          <w:spacing w:val="0"/>
          <w:sz w:val="22"/>
          <w:szCs w:val="24"/>
          <w:rtl/>
        </w:rPr>
        <w:t>ה</w:t>
      </w:r>
      <w:r w:rsidRPr="00A72923">
        <w:rPr>
          <w:rtl/>
        </w:rPr>
        <w:t xml:space="preserve">, </w:t>
      </w:r>
      <w:r w:rsidRPr="00A72923">
        <w:rPr>
          <w:rFonts w:hint="eastAsia"/>
          <w:rtl/>
        </w:rPr>
        <w:t>פ</w:t>
      </w:r>
      <w:r>
        <w:rPr>
          <w:rFonts w:hint="cs"/>
          <w:rtl/>
        </w:rPr>
        <w:t>"</w:t>
      </w:r>
      <w:r w:rsidRPr="00A72923">
        <w:rPr>
          <w:rFonts w:hint="eastAsia"/>
          <w:rtl/>
        </w:rPr>
        <w:t>ד</w:t>
      </w:r>
      <w:r w:rsidRPr="00A72923">
        <w:rPr>
          <w:rtl/>
        </w:rPr>
        <w:t xml:space="preserve"> </w:t>
      </w:r>
      <w:r w:rsidRPr="00A72923">
        <w:rPr>
          <w:rFonts w:hint="eastAsia"/>
          <w:rtl/>
        </w:rPr>
        <w:t>לה</w:t>
      </w:r>
      <w:r>
        <w:rPr>
          <w:rtl/>
        </w:rPr>
        <w:t xml:space="preserve">(2) </w:t>
      </w:r>
      <w:r>
        <w:rPr>
          <w:rFonts w:hint="cs"/>
          <w:rtl/>
        </w:rPr>
        <w:t xml:space="preserve">85, 96 </w:t>
      </w:r>
      <w:r>
        <w:rPr>
          <w:rFonts w:hint="cs"/>
          <w:rtl/>
        </w:rPr>
        <w:lastRenderedPageBreak/>
        <w:t>(1981)</w:t>
      </w:r>
      <w:r>
        <w:rPr>
          <w:rFonts w:ascii="Century" w:hAnsi="Century" w:hint="cs"/>
          <w:sz w:val="22"/>
          <w:rtl/>
        </w:rPr>
        <w:t xml:space="preserve">; </w:t>
      </w:r>
      <w:r w:rsidRPr="00B877CD">
        <w:rPr>
          <w:rFonts w:hint="eastAsia"/>
          <w:rtl/>
        </w:rPr>
        <w:t>בג</w:t>
      </w:r>
      <w:r w:rsidRPr="00B877CD">
        <w:rPr>
          <w:rtl/>
        </w:rPr>
        <w:t>"</w:t>
      </w:r>
      <w:r w:rsidRPr="00B877CD">
        <w:rPr>
          <w:rFonts w:hint="eastAsia"/>
          <w:rtl/>
        </w:rPr>
        <w:t>ץ</w:t>
      </w:r>
      <w:r>
        <w:rPr>
          <w:rtl/>
        </w:rPr>
        <w:t xml:space="preserve"> 3073/99‏ </w:t>
      </w:r>
      <w:r w:rsidRPr="002608EA">
        <w:rPr>
          <w:rFonts w:ascii="Century" w:hAnsi="Century" w:cs="Miriam" w:hint="eastAsia"/>
          <w:b/>
          <w:spacing w:val="0"/>
          <w:sz w:val="22"/>
          <w:szCs w:val="24"/>
          <w:rtl/>
        </w:rPr>
        <w:t>התנועה</w:t>
      </w:r>
      <w:r w:rsidRPr="002608EA">
        <w:rPr>
          <w:rFonts w:ascii="Century" w:hAnsi="Century" w:cs="Miriam"/>
          <w:b/>
          <w:spacing w:val="0"/>
          <w:sz w:val="22"/>
          <w:szCs w:val="24"/>
          <w:rtl/>
        </w:rPr>
        <w:t xml:space="preserve"> </w:t>
      </w:r>
      <w:r w:rsidRPr="002608EA">
        <w:rPr>
          <w:rFonts w:ascii="Century" w:hAnsi="Century" w:cs="Miriam" w:hint="eastAsia"/>
          <w:b/>
          <w:spacing w:val="0"/>
          <w:sz w:val="22"/>
          <w:szCs w:val="24"/>
          <w:rtl/>
        </w:rPr>
        <w:t>למען</w:t>
      </w:r>
      <w:r w:rsidRPr="002608EA">
        <w:rPr>
          <w:rFonts w:ascii="Century" w:hAnsi="Century" w:cs="Miriam"/>
          <w:b/>
          <w:spacing w:val="0"/>
          <w:sz w:val="22"/>
          <w:szCs w:val="24"/>
          <w:rtl/>
        </w:rPr>
        <w:t xml:space="preserve"> </w:t>
      </w:r>
      <w:r w:rsidRPr="002608EA">
        <w:rPr>
          <w:rFonts w:ascii="Century" w:hAnsi="Century" w:cs="Miriam" w:hint="eastAsia"/>
          <w:b/>
          <w:spacing w:val="0"/>
          <w:sz w:val="22"/>
          <w:szCs w:val="24"/>
          <w:rtl/>
        </w:rPr>
        <w:t>איכות</w:t>
      </w:r>
      <w:r w:rsidRPr="002608EA">
        <w:rPr>
          <w:rFonts w:ascii="Century" w:hAnsi="Century" w:cs="Miriam"/>
          <w:b/>
          <w:spacing w:val="0"/>
          <w:sz w:val="22"/>
          <w:szCs w:val="24"/>
          <w:rtl/>
        </w:rPr>
        <w:t xml:space="preserve"> </w:t>
      </w:r>
      <w:r w:rsidRPr="002608EA">
        <w:rPr>
          <w:rFonts w:ascii="Century" w:hAnsi="Century" w:cs="Miriam" w:hint="eastAsia"/>
          <w:b/>
          <w:spacing w:val="0"/>
          <w:sz w:val="22"/>
          <w:szCs w:val="24"/>
          <w:rtl/>
        </w:rPr>
        <w:t>השלטון</w:t>
      </w:r>
      <w:r w:rsidRPr="002608EA">
        <w:rPr>
          <w:rFonts w:ascii="Century" w:hAnsi="Century" w:cs="Miriam"/>
          <w:b/>
          <w:spacing w:val="0"/>
          <w:sz w:val="22"/>
          <w:szCs w:val="24"/>
          <w:rtl/>
        </w:rPr>
        <w:t xml:space="preserve"> </w:t>
      </w:r>
      <w:r w:rsidRPr="002608EA">
        <w:rPr>
          <w:rFonts w:ascii="Century" w:hAnsi="Century" w:cs="Miriam" w:hint="eastAsia"/>
          <w:b/>
          <w:spacing w:val="0"/>
          <w:sz w:val="22"/>
          <w:szCs w:val="24"/>
          <w:rtl/>
        </w:rPr>
        <w:t>בישראל</w:t>
      </w:r>
      <w:r w:rsidRPr="002608EA">
        <w:rPr>
          <w:rFonts w:ascii="Century" w:hAnsi="Century" w:cs="Miriam"/>
          <w:b/>
          <w:spacing w:val="0"/>
          <w:sz w:val="22"/>
          <w:szCs w:val="24"/>
          <w:rtl/>
        </w:rPr>
        <w:t xml:space="preserve"> </w:t>
      </w:r>
      <w:r w:rsidRPr="002608EA">
        <w:rPr>
          <w:rFonts w:ascii="Century" w:hAnsi="Century" w:cs="Miriam" w:hint="eastAsia"/>
          <w:b/>
          <w:spacing w:val="0"/>
          <w:sz w:val="22"/>
          <w:szCs w:val="24"/>
          <w:rtl/>
        </w:rPr>
        <w:t>נ</w:t>
      </w:r>
      <w:r w:rsidRPr="002608EA">
        <w:rPr>
          <w:rFonts w:ascii="Century" w:hAnsi="Century" w:cs="Miriam"/>
          <w:b/>
          <w:spacing w:val="0"/>
          <w:sz w:val="22"/>
          <w:szCs w:val="24"/>
          <w:rtl/>
        </w:rPr>
        <w:t xml:space="preserve">' </w:t>
      </w:r>
      <w:r w:rsidRPr="002608EA">
        <w:rPr>
          <w:rFonts w:ascii="Century" w:hAnsi="Century" w:cs="Miriam" w:hint="eastAsia"/>
          <w:b/>
          <w:spacing w:val="0"/>
          <w:sz w:val="22"/>
          <w:szCs w:val="24"/>
          <w:rtl/>
        </w:rPr>
        <w:t>שר</w:t>
      </w:r>
      <w:r w:rsidRPr="002608EA">
        <w:rPr>
          <w:rFonts w:ascii="Century" w:hAnsi="Century" w:cs="Miriam"/>
          <w:b/>
          <w:spacing w:val="0"/>
          <w:sz w:val="22"/>
          <w:szCs w:val="24"/>
          <w:rtl/>
        </w:rPr>
        <w:t xml:space="preserve"> </w:t>
      </w:r>
      <w:r w:rsidRPr="002608EA">
        <w:rPr>
          <w:rFonts w:ascii="Century" w:hAnsi="Century" w:cs="Miriam" w:hint="eastAsia"/>
          <w:b/>
          <w:spacing w:val="0"/>
          <w:sz w:val="22"/>
          <w:szCs w:val="24"/>
          <w:rtl/>
        </w:rPr>
        <w:t>החינוך</w:t>
      </w:r>
      <w:r>
        <w:rPr>
          <w:rFonts w:ascii="Century" w:hAnsi="Century" w:cs="Miriam" w:hint="cs"/>
          <w:b/>
          <w:spacing w:val="0"/>
          <w:sz w:val="22"/>
          <w:szCs w:val="24"/>
          <w:rtl/>
        </w:rPr>
        <w:t>, התרבות והספורט</w:t>
      </w:r>
      <w:r w:rsidRPr="00B877CD">
        <w:rPr>
          <w:rtl/>
        </w:rPr>
        <w:t xml:space="preserve">, </w:t>
      </w:r>
      <w:r w:rsidRPr="00B877CD">
        <w:rPr>
          <w:rFonts w:hint="eastAsia"/>
          <w:rtl/>
        </w:rPr>
        <w:t>פ</w:t>
      </w:r>
      <w:r>
        <w:rPr>
          <w:rFonts w:hint="cs"/>
          <w:rtl/>
        </w:rPr>
        <w:t>"</w:t>
      </w:r>
      <w:r w:rsidRPr="00B877CD">
        <w:rPr>
          <w:rFonts w:hint="eastAsia"/>
          <w:rtl/>
        </w:rPr>
        <w:t>ד</w:t>
      </w:r>
      <w:r w:rsidRPr="00B877CD">
        <w:rPr>
          <w:rtl/>
        </w:rPr>
        <w:t xml:space="preserve"> </w:t>
      </w:r>
      <w:r w:rsidRPr="00B877CD">
        <w:rPr>
          <w:rFonts w:hint="eastAsia"/>
          <w:rtl/>
        </w:rPr>
        <w:t>נד</w:t>
      </w:r>
      <w:r w:rsidRPr="00B877CD">
        <w:rPr>
          <w:rtl/>
        </w:rPr>
        <w:t>(3) 529</w:t>
      </w:r>
      <w:r>
        <w:rPr>
          <w:rFonts w:hint="cs"/>
          <w:rtl/>
        </w:rPr>
        <w:t xml:space="preserve">, 539 (2000)). אף </w:t>
      </w:r>
      <w:r w:rsidRPr="003718D5">
        <w:rPr>
          <w:rFonts w:hint="cs"/>
          <w:rtl/>
        </w:rPr>
        <w:t xml:space="preserve">כי עמדת הגוף המייעץ איננה אלא בגדר עצה בלבד והיא אינה מחייבת את הרשות </w:t>
      </w:r>
      <w:proofErr w:type="spellStart"/>
      <w:r w:rsidRPr="003718D5">
        <w:rPr>
          <w:rFonts w:hint="cs"/>
          <w:rtl/>
        </w:rPr>
        <w:t>המינהלית</w:t>
      </w:r>
      <w:proofErr w:type="spellEnd"/>
      <w:r w:rsidRPr="003718D5">
        <w:rPr>
          <w:rFonts w:hint="cs"/>
          <w:rtl/>
        </w:rPr>
        <w:t>, הגוף המתייעץ אינו רשאי להתעלם מעמדה זו מבלי לשקול אותה (ב</w:t>
      </w:r>
      <w:r w:rsidRPr="003718D5">
        <w:rPr>
          <w:rFonts w:hint="eastAsia"/>
          <w:rtl/>
        </w:rPr>
        <w:t>ג</w:t>
      </w:r>
      <w:r w:rsidRPr="003718D5">
        <w:rPr>
          <w:rtl/>
        </w:rPr>
        <w:t>"</w:t>
      </w:r>
      <w:r w:rsidRPr="003718D5">
        <w:rPr>
          <w:rFonts w:hint="eastAsia"/>
          <w:rtl/>
        </w:rPr>
        <w:t>ץ</w:t>
      </w:r>
      <w:r w:rsidRPr="003718D5">
        <w:rPr>
          <w:rtl/>
        </w:rPr>
        <w:t xml:space="preserve"> 2344</w:t>
      </w:r>
      <w:r w:rsidRPr="00B877CD">
        <w:rPr>
          <w:rtl/>
        </w:rPr>
        <w:t xml:space="preserve">/98 </w:t>
      </w:r>
      <w:r w:rsidRPr="003718D5">
        <w:rPr>
          <w:rFonts w:ascii="Century" w:hAnsi="Century" w:cs="Miriam" w:hint="eastAsia"/>
          <w:b/>
          <w:spacing w:val="0"/>
          <w:sz w:val="22"/>
          <w:szCs w:val="24"/>
          <w:rtl/>
        </w:rPr>
        <w:t>מכבי</w:t>
      </w:r>
      <w:r w:rsidRPr="003718D5">
        <w:rPr>
          <w:rFonts w:ascii="Century" w:hAnsi="Century" w:cs="Miriam"/>
          <w:b/>
          <w:spacing w:val="0"/>
          <w:sz w:val="22"/>
          <w:szCs w:val="24"/>
          <w:rtl/>
        </w:rPr>
        <w:t xml:space="preserve"> </w:t>
      </w:r>
      <w:r w:rsidRPr="003718D5">
        <w:rPr>
          <w:rFonts w:ascii="Century" w:hAnsi="Century" w:cs="Miriam" w:hint="eastAsia"/>
          <w:b/>
          <w:spacing w:val="0"/>
          <w:sz w:val="22"/>
          <w:szCs w:val="24"/>
          <w:rtl/>
        </w:rPr>
        <w:t>שירותי</w:t>
      </w:r>
      <w:r w:rsidRPr="003718D5">
        <w:rPr>
          <w:rFonts w:ascii="Century" w:hAnsi="Century" w:cs="Miriam"/>
          <w:b/>
          <w:spacing w:val="0"/>
          <w:sz w:val="22"/>
          <w:szCs w:val="24"/>
          <w:rtl/>
        </w:rPr>
        <w:t xml:space="preserve"> </w:t>
      </w:r>
      <w:r w:rsidRPr="003718D5">
        <w:rPr>
          <w:rFonts w:ascii="Century" w:hAnsi="Century" w:cs="Miriam" w:hint="eastAsia"/>
          <w:b/>
          <w:spacing w:val="0"/>
          <w:sz w:val="22"/>
          <w:szCs w:val="24"/>
          <w:rtl/>
        </w:rPr>
        <w:t>בריאות</w:t>
      </w:r>
      <w:r w:rsidRPr="003718D5">
        <w:rPr>
          <w:rFonts w:ascii="Century" w:hAnsi="Century" w:cs="Miriam"/>
          <w:b/>
          <w:spacing w:val="0"/>
          <w:sz w:val="22"/>
          <w:szCs w:val="24"/>
          <w:rtl/>
        </w:rPr>
        <w:t xml:space="preserve"> </w:t>
      </w:r>
      <w:r w:rsidRPr="003718D5">
        <w:rPr>
          <w:rFonts w:ascii="Century" w:hAnsi="Century" w:cs="Miriam" w:hint="eastAsia"/>
          <w:b/>
          <w:spacing w:val="0"/>
          <w:sz w:val="22"/>
          <w:szCs w:val="24"/>
          <w:rtl/>
        </w:rPr>
        <w:t>נ</w:t>
      </w:r>
      <w:r w:rsidRPr="003718D5">
        <w:rPr>
          <w:rFonts w:ascii="Century" w:hAnsi="Century" w:cs="Miriam"/>
          <w:b/>
          <w:spacing w:val="0"/>
          <w:sz w:val="22"/>
          <w:szCs w:val="24"/>
          <w:rtl/>
        </w:rPr>
        <w:t xml:space="preserve">' </w:t>
      </w:r>
      <w:r w:rsidRPr="003718D5">
        <w:rPr>
          <w:rFonts w:ascii="Century" w:hAnsi="Century" w:cs="Miriam" w:hint="eastAsia"/>
          <w:b/>
          <w:spacing w:val="0"/>
          <w:sz w:val="22"/>
          <w:szCs w:val="24"/>
          <w:rtl/>
        </w:rPr>
        <w:t>שר</w:t>
      </w:r>
      <w:r w:rsidRPr="003718D5">
        <w:rPr>
          <w:rFonts w:ascii="Century" w:hAnsi="Century" w:cs="Miriam"/>
          <w:b/>
          <w:spacing w:val="0"/>
          <w:sz w:val="22"/>
          <w:szCs w:val="24"/>
          <w:rtl/>
        </w:rPr>
        <w:t xml:space="preserve"> </w:t>
      </w:r>
      <w:r w:rsidRPr="003718D5">
        <w:rPr>
          <w:rFonts w:ascii="Century" w:hAnsi="Century" w:cs="Miriam" w:hint="eastAsia"/>
          <w:b/>
          <w:spacing w:val="0"/>
          <w:sz w:val="22"/>
          <w:szCs w:val="24"/>
          <w:rtl/>
        </w:rPr>
        <w:t>האוצר</w:t>
      </w:r>
      <w:r w:rsidRPr="00B877CD">
        <w:rPr>
          <w:rtl/>
        </w:rPr>
        <w:t xml:space="preserve">, </w:t>
      </w:r>
      <w:r>
        <w:rPr>
          <w:rFonts w:hint="cs"/>
          <w:rtl/>
        </w:rPr>
        <w:t xml:space="preserve">פ"ד </w:t>
      </w:r>
      <w:r w:rsidRPr="00B877CD">
        <w:rPr>
          <w:rFonts w:hint="eastAsia"/>
          <w:rtl/>
        </w:rPr>
        <w:t>נד</w:t>
      </w:r>
      <w:r w:rsidRPr="00B877CD">
        <w:rPr>
          <w:rtl/>
        </w:rPr>
        <w:t xml:space="preserve">(5) </w:t>
      </w:r>
      <w:r w:rsidRPr="00326D31">
        <w:rPr>
          <w:rtl/>
        </w:rPr>
        <w:t>729</w:t>
      </w:r>
      <w:r w:rsidRPr="00326D31">
        <w:rPr>
          <w:rFonts w:hint="cs"/>
          <w:rtl/>
        </w:rPr>
        <w:t>, 763</w:t>
      </w:r>
      <w:r w:rsidRPr="00326D31">
        <w:rPr>
          <w:rtl/>
        </w:rPr>
        <w:t xml:space="preserve"> (2000</w:t>
      </w:r>
      <w:r w:rsidRPr="00B877CD">
        <w:rPr>
          <w:rtl/>
        </w:rPr>
        <w:t>)</w:t>
      </w:r>
      <w:r>
        <w:rPr>
          <w:rFonts w:hint="cs"/>
          <w:rtl/>
        </w:rPr>
        <w:t xml:space="preserve">; </w:t>
      </w:r>
      <w:r w:rsidRPr="003718D5">
        <w:rPr>
          <w:rFonts w:hint="eastAsia"/>
          <w:rtl/>
        </w:rPr>
        <w:t>יצחק</w:t>
      </w:r>
      <w:r w:rsidRPr="003718D5">
        <w:rPr>
          <w:rtl/>
        </w:rPr>
        <w:t xml:space="preserve"> </w:t>
      </w:r>
      <w:r w:rsidRPr="003718D5">
        <w:rPr>
          <w:rFonts w:hint="eastAsia"/>
          <w:rtl/>
        </w:rPr>
        <w:t>זמיר</w:t>
      </w:r>
      <w:r w:rsidRPr="003718D5">
        <w:rPr>
          <w:rFonts w:hint="cs"/>
          <w:rtl/>
        </w:rPr>
        <w:t xml:space="preserve"> </w:t>
      </w:r>
      <w:r w:rsidRPr="003718D5">
        <w:rPr>
          <w:rFonts w:ascii="Century" w:hAnsi="Century" w:cs="Miriam" w:hint="eastAsia"/>
          <w:b/>
          <w:spacing w:val="0"/>
          <w:sz w:val="22"/>
          <w:szCs w:val="24"/>
          <w:rtl/>
        </w:rPr>
        <w:t>הסמכות</w:t>
      </w:r>
      <w:r w:rsidRPr="003718D5">
        <w:rPr>
          <w:rFonts w:ascii="Century" w:hAnsi="Century" w:cs="Miriam"/>
          <w:b/>
          <w:spacing w:val="0"/>
          <w:sz w:val="22"/>
          <w:szCs w:val="24"/>
          <w:rtl/>
        </w:rPr>
        <w:t xml:space="preserve"> </w:t>
      </w:r>
      <w:proofErr w:type="spellStart"/>
      <w:r w:rsidRPr="003718D5">
        <w:rPr>
          <w:rFonts w:ascii="Century" w:hAnsi="Century" w:cs="Miriam" w:hint="eastAsia"/>
          <w:b/>
          <w:spacing w:val="0"/>
          <w:sz w:val="22"/>
          <w:szCs w:val="24"/>
          <w:rtl/>
        </w:rPr>
        <w:t>המינהלית</w:t>
      </w:r>
      <w:proofErr w:type="spellEnd"/>
      <w:r w:rsidRPr="003718D5">
        <w:rPr>
          <w:rFonts w:hint="cs"/>
          <w:rtl/>
        </w:rPr>
        <w:t xml:space="preserve"> </w:t>
      </w:r>
      <w:r w:rsidRPr="003718D5">
        <w:rPr>
          <w:rFonts w:hint="eastAsia"/>
          <w:rtl/>
        </w:rPr>
        <w:t>כרך</w:t>
      </w:r>
      <w:r w:rsidRPr="003718D5">
        <w:rPr>
          <w:rtl/>
        </w:rPr>
        <w:t xml:space="preserve"> </w:t>
      </w:r>
      <w:r w:rsidRPr="003718D5">
        <w:rPr>
          <w:rFonts w:hint="eastAsia"/>
          <w:rtl/>
        </w:rPr>
        <w:t>ב</w:t>
      </w:r>
      <w:r w:rsidRPr="003718D5">
        <w:rPr>
          <w:rtl/>
        </w:rPr>
        <w:t xml:space="preserve"> </w:t>
      </w:r>
      <w:r w:rsidRPr="003718D5">
        <w:rPr>
          <w:rFonts w:hint="cs"/>
          <w:rtl/>
        </w:rPr>
        <w:t xml:space="preserve">1217-1213 </w:t>
      </w:r>
      <w:r w:rsidRPr="003718D5">
        <w:rPr>
          <w:rtl/>
        </w:rPr>
        <w:t>(2011)</w:t>
      </w:r>
      <w:r w:rsidRPr="003718D5">
        <w:rPr>
          <w:rFonts w:hint="cs"/>
          <w:rtl/>
        </w:rPr>
        <w:t xml:space="preserve"> (להלן: </w:t>
      </w:r>
      <w:r w:rsidRPr="003718D5">
        <w:rPr>
          <w:rFonts w:ascii="Century" w:hAnsi="Century" w:cs="Miriam" w:hint="cs"/>
          <w:b/>
          <w:spacing w:val="0"/>
          <w:sz w:val="22"/>
          <w:szCs w:val="24"/>
          <w:rtl/>
        </w:rPr>
        <w:t xml:space="preserve">זמיר, הסמכות </w:t>
      </w:r>
      <w:proofErr w:type="spellStart"/>
      <w:r w:rsidRPr="003718D5">
        <w:rPr>
          <w:rFonts w:ascii="Century" w:hAnsi="Century" w:cs="Miriam" w:hint="cs"/>
          <w:b/>
          <w:spacing w:val="0"/>
          <w:sz w:val="22"/>
          <w:szCs w:val="24"/>
          <w:rtl/>
        </w:rPr>
        <w:t>המינהלית</w:t>
      </w:r>
      <w:proofErr w:type="spellEnd"/>
      <w:r w:rsidRPr="003718D5">
        <w:rPr>
          <w:rFonts w:hint="cs"/>
          <w:rtl/>
        </w:rPr>
        <w:t>)</w:t>
      </w:r>
      <w:r>
        <w:rPr>
          <w:rFonts w:hint="cs"/>
          <w:rtl/>
        </w:rPr>
        <w:t xml:space="preserve">). </w:t>
      </w:r>
      <w:r w:rsidRPr="00B877CD">
        <w:rPr>
          <w:rFonts w:hint="eastAsia"/>
          <w:rtl/>
        </w:rPr>
        <w:t>אין</w:t>
      </w:r>
      <w:r w:rsidRPr="00B877CD">
        <w:rPr>
          <w:rtl/>
        </w:rPr>
        <w:t xml:space="preserve"> </w:t>
      </w:r>
      <w:r w:rsidRPr="00B877CD">
        <w:rPr>
          <w:rFonts w:hint="eastAsia"/>
          <w:rtl/>
        </w:rPr>
        <w:t>די</w:t>
      </w:r>
      <w:r w:rsidRPr="00B877CD">
        <w:rPr>
          <w:rtl/>
        </w:rPr>
        <w:t xml:space="preserve"> </w:t>
      </w:r>
      <w:r>
        <w:rPr>
          <w:rFonts w:hint="cs"/>
          <w:rtl/>
        </w:rPr>
        <w:t xml:space="preserve">בהיוועצות </w:t>
      </w:r>
      <w:r w:rsidRPr="00B877CD">
        <w:rPr>
          <w:rFonts w:hint="eastAsia"/>
          <w:rtl/>
        </w:rPr>
        <w:t>מן</w:t>
      </w:r>
      <w:r w:rsidRPr="00B877CD">
        <w:rPr>
          <w:rtl/>
        </w:rPr>
        <w:t xml:space="preserve"> </w:t>
      </w:r>
      <w:r w:rsidRPr="00B877CD">
        <w:rPr>
          <w:rFonts w:hint="eastAsia"/>
          <w:rtl/>
        </w:rPr>
        <w:t>השפה</w:t>
      </w:r>
      <w:r w:rsidRPr="00B877CD">
        <w:rPr>
          <w:rtl/>
        </w:rPr>
        <w:t xml:space="preserve"> </w:t>
      </w:r>
      <w:r w:rsidRPr="00B877CD">
        <w:rPr>
          <w:rFonts w:hint="eastAsia"/>
          <w:rtl/>
        </w:rPr>
        <w:t>לחוץ</w:t>
      </w:r>
      <w:r w:rsidRPr="00B877CD">
        <w:rPr>
          <w:rtl/>
        </w:rPr>
        <w:t xml:space="preserve"> </w:t>
      </w:r>
      <w:r w:rsidRPr="00B877CD">
        <w:rPr>
          <w:rFonts w:hint="eastAsia"/>
          <w:rtl/>
        </w:rPr>
        <w:t>כדי</w:t>
      </w:r>
      <w:r w:rsidRPr="00B877CD">
        <w:rPr>
          <w:rtl/>
        </w:rPr>
        <w:t xml:space="preserve"> </w:t>
      </w:r>
      <w:r>
        <w:rPr>
          <w:rFonts w:hint="cs"/>
          <w:rtl/>
        </w:rPr>
        <w:t>"</w:t>
      </w:r>
      <w:r w:rsidRPr="00B877CD">
        <w:rPr>
          <w:rFonts w:hint="eastAsia"/>
          <w:rtl/>
        </w:rPr>
        <w:t>לצאת</w:t>
      </w:r>
      <w:r w:rsidRPr="00B877CD">
        <w:rPr>
          <w:rtl/>
        </w:rPr>
        <w:t xml:space="preserve"> </w:t>
      </w:r>
      <w:r w:rsidRPr="00B877CD">
        <w:rPr>
          <w:rFonts w:hint="eastAsia"/>
          <w:rtl/>
        </w:rPr>
        <w:t>ידי</w:t>
      </w:r>
      <w:r w:rsidRPr="00B877CD">
        <w:rPr>
          <w:rtl/>
        </w:rPr>
        <w:t xml:space="preserve"> </w:t>
      </w:r>
      <w:r w:rsidRPr="00B877CD">
        <w:rPr>
          <w:rFonts w:hint="eastAsia"/>
          <w:rtl/>
        </w:rPr>
        <w:t>חובה</w:t>
      </w:r>
      <w:r>
        <w:rPr>
          <w:rFonts w:hint="cs"/>
          <w:rtl/>
        </w:rPr>
        <w:t>"</w:t>
      </w:r>
      <w:r w:rsidRPr="00B877CD">
        <w:rPr>
          <w:rtl/>
        </w:rPr>
        <w:t xml:space="preserve">, </w:t>
      </w:r>
      <w:r>
        <w:rPr>
          <w:rFonts w:hint="cs"/>
          <w:rtl/>
        </w:rPr>
        <w:t>לאחר ש</w:t>
      </w:r>
      <w:r w:rsidRPr="00B877CD">
        <w:rPr>
          <w:rFonts w:hint="eastAsia"/>
          <w:rtl/>
        </w:rPr>
        <w:t>גיבשה</w:t>
      </w:r>
      <w:r w:rsidRPr="00B877CD">
        <w:rPr>
          <w:rtl/>
        </w:rPr>
        <w:t xml:space="preserve"> </w:t>
      </w:r>
      <w:r w:rsidRPr="00B877CD">
        <w:rPr>
          <w:rFonts w:hint="eastAsia"/>
          <w:rtl/>
        </w:rPr>
        <w:t>הרשות</w:t>
      </w:r>
      <w:r w:rsidRPr="00B877CD">
        <w:rPr>
          <w:rtl/>
        </w:rPr>
        <w:t xml:space="preserve"> </w:t>
      </w:r>
      <w:r w:rsidRPr="00B877CD">
        <w:rPr>
          <w:rFonts w:hint="eastAsia"/>
          <w:rtl/>
        </w:rPr>
        <w:t>המתייעצת</w:t>
      </w:r>
      <w:r w:rsidRPr="00B877CD">
        <w:rPr>
          <w:rtl/>
        </w:rPr>
        <w:t xml:space="preserve"> </w:t>
      </w:r>
      <w:r>
        <w:rPr>
          <w:rFonts w:hint="cs"/>
          <w:rtl/>
        </w:rPr>
        <w:t xml:space="preserve">בפועל </w:t>
      </w:r>
      <w:r w:rsidRPr="00B877CD">
        <w:rPr>
          <w:rFonts w:hint="eastAsia"/>
          <w:rtl/>
        </w:rPr>
        <w:t>עמדה</w:t>
      </w:r>
      <w:r w:rsidRPr="00B877CD">
        <w:rPr>
          <w:rtl/>
        </w:rPr>
        <w:t xml:space="preserve"> </w:t>
      </w:r>
      <w:r w:rsidRPr="00B877CD">
        <w:rPr>
          <w:rFonts w:hint="eastAsia"/>
          <w:rtl/>
        </w:rPr>
        <w:t>נחרצת</w:t>
      </w:r>
      <w:r>
        <w:rPr>
          <w:rFonts w:hint="cs"/>
          <w:rtl/>
        </w:rPr>
        <w:t xml:space="preserve"> בסוגיה לגביה נדרשת ההתייעצות (</w:t>
      </w:r>
      <w:r w:rsidRPr="00B877CD">
        <w:rPr>
          <w:rFonts w:hint="eastAsia"/>
          <w:rtl/>
        </w:rPr>
        <w:t>בג</w:t>
      </w:r>
      <w:r w:rsidRPr="00B877CD">
        <w:rPr>
          <w:rtl/>
        </w:rPr>
        <w:t>"</w:t>
      </w:r>
      <w:r w:rsidRPr="00B877CD">
        <w:rPr>
          <w:rFonts w:hint="eastAsia"/>
          <w:rtl/>
        </w:rPr>
        <w:t>ץ</w:t>
      </w:r>
      <w:r w:rsidRPr="00B877CD">
        <w:rPr>
          <w:rtl/>
        </w:rPr>
        <w:t xml:space="preserve"> 2910/04‏ </w:t>
      </w:r>
      <w:r w:rsidRPr="00A72923">
        <w:rPr>
          <w:rFonts w:ascii="Century" w:hAnsi="Century" w:cs="Miriam" w:hint="eastAsia"/>
          <w:b/>
          <w:spacing w:val="0"/>
          <w:sz w:val="22"/>
          <w:szCs w:val="24"/>
          <w:rtl/>
        </w:rPr>
        <w:t>מרכז</w:t>
      </w:r>
      <w:r w:rsidRPr="00A72923">
        <w:rPr>
          <w:rFonts w:ascii="Century" w:hAnsi="Century" w:cs="Miriam"/>
          <w:b/>
          <w:spacing w:val="0"/>
          <w:sz w:val="22"/>
          <w:szCs w:val="24"/>
          <w:rtl/>
        </w:rPr>
        <w:t xml:space="preserve"> </w:t>
      </w:r>
      <w:r w:rsidRPr="00A72923">
        <w:rPr>
          <w:rFonts w:ascii="Century" w:hAnsi="Century" w:cs="Miriam" w:hint="eastAsia"/>
          <w:b/>
          <w:spacing w:val="0"/>
          <w:sz w:val="22"/>
          <w:szCs w:val="24"/>
          <w:rtl/>
        </w:rPr>
        <w:t>השלטון</w:t>
      </w:r>
      <w:r w:rsidRPr="00A72923">
        <w:rPr>
          <w:rFonts w:ascii="Century" w:hAnsi="Century" w:cs="Miriam"/>
          <w:b/>
          <w:spacing w:val="0"/>
          <w:sz w:val="22"/>
          <w:szCs w:val="24"/>
          <w:rtl/>
        </w:rPr>
        <w:t xml:space="preserve"> </w:t>
      </w:r>
      <w:r w:rsidRPr="00A72923">
        <w:rPr>
          <w:rFonts w:ascii="Century" w:hAnsi="Century" w:cs="Miriam" w:hint="eastAsia"/>
          <w:b/>
          <w:spacing w:val="0"/>
          <w:sz w:val="22"/>
          <w:szCs w:val="24"/>
          <w:rtl/>
        </w:rPr>
        <w:t>המקומי</w:t>
      </w:r>
      <w:r w:rsidRPr="00A72923">
        <w:rPr>
          <w:rFonts w:ascii="Century" w:hAnsi="Century" w:cs="Miriam"/>
          <w:b/>
          <w:spacing w:val="0"/>
          <w:sz w:val="22"/>
          <w:szCs w:val="24"/>
          <w:rtl/>
        </w:rPr>
        <w:t xml:space="preserve"> </w:t>
      </w:r>
      <w:r w:rsidRPr="00A72923">
        <w:rPr>
          <w:rFonts w:ascii="Century" w:hAnsi="Century" w:cs="Miriam" w:hint="eastAsia"/>
          <w:b/>
          <w:spacing w:val="0"/>
          <w:sz w:val="22"/>
          <w:szCs w:val="24"/>
          <w:rtl/>
        </w:rPr>
        <w:t>בישראל</w:t>
      </w:r>
      <w:r w:rsidRPr="00A72923">
        <w:rPr>
          <w:rFonts w:ascii="Century" w:hAnsi="Century" w:cs="Miriam"/>
          <w:b/>
          <w:spacing w:val="0"/>
          <w:sz w:val="22"/>
          <w:szCs w:val="24"/>
          <w:rtl/>
        </w:rPr>
        <w:t xml:space="preserve"> </w:t>
      </w:r>
      <w:r w:rsidRPr="00A72923">
        <w:rPr>
          <w:rFonts w:ascii="Century" w:hAnsi="Century" w:cs="Miriam" w:hint="eastAsia"/>
          <w:b/>
          <w:spacing w:val="0"/>
          <w:sz w:val="22"/>
          <w:szCs w:val="24"/>
          <w:rtl/>
        </w:rPr>
        <w:t>נ</w:t>
      </w:r>
      <w:r w:rsidRPr="00A72923">
        <w:rPr>
          <w:rFonts w:ascii="Century" w:hAnsi="Century" w:cs="Miriam"/>
          <w:b/>
          <w:spacing w:val="0"/>
          <w:sz w:val="22"/>
          <w:szCs w:val="24"/>
          <w:rtl/>
        </w:rPr>
        <w:t xml:space="preserve">' </w:t>
      </w:r>
      <w:r w:rsidRPr="00A72923">
        <w:rPr>
          <w:rFonts w:ascii="Century" w:hAnsi="Century" w:cs="Miriam" w:hint="eastAsia"/>
          <w:b/>
          <w:spacing w:val="0"/>
          <w:sz w:val="22"/>
          <w:szCs w:val="24"/>
          <w:rtl/>
        </w:rPr>
        <w:t>משרד</w:t>
      </w:r>
      <w:r w:rsidRPr="00A72923">
        <w:rPr>
          <w:rFonts w:ascii="Century" w:hAnsi="Century" w:cs="Miriam"/>
          <w:b/>
          <w:spacing w:val="0"/>
          <w:sz w:val="22"/>
          <w:szCs w:val="24"/>
          <w:rtl/>
        </w:rPr>
        <w:t xml:space="preserve"> </w:t>
      </w:r>
      <w:r w:rsidRPr="00A72923">
        <w:rPr>
          <w:rFonts w:ascii="Century" w:hAnsi="Century" w:cs="Miriam" w:hint="eastAsia"/>
          <w:b/>
          <w:spacing w:val="0"/>
          <w:sz w:val="22"/>
          <w:szCs w:val="24"/>
          <w:rtl/>
        </w:rPr>
        <w:t>החינוך</w:t>
      </w:r>
      <w:r w:rsidRPr="00B877CD">
        <w:rPr>
          <w:rtl/>
        </w:rPr>
        <w:t xml:space="preserve">, </w:t>
      </w:r>
      <w:r w:rsidRPr="00B877CD">
        <w:rPr>
          <w:rFonts w:hint="eastAsia"/>
          <w:rtl/>
        </w:rPr>
        <w:t>פ</w:t>
      </w:r>
      <w:r>
        <w:rPr>
          <w:rFonts w:hint="cs"/>
          <w:rtl/>
        </w:rPr>
        <w:t>"</w:t>
      </w:r>
      <w:r w:rsidRPr="00B877CD">
        <w:rPr>
          <w:rFonts w:hint="eastAsia"/>
          <w:rtl/>
        </w:rPr>
        <w:t>ד</w:t>
      </w:r>
      <w:r w:rsidRPr="00B877CD">
        <w:rPr>
          <w:rtl/>
        </w:rPr>
        <w:t xml:space="preserve"> </w:t>
      </w:r>
      <w:r w:rsidRPr="00B877CD">
        <w:rPr>
          <w:rFonts w:hint="eastAsia"/>
          <w:rtl/>
        </w:rPr>
        <w:t>נט</w:t>
      </w:r>
      <w:r w:rsidRPr="00B877CD">
        <w:rPr>
          <w:rtl/>
        </w:rPr>
        <w:t>(3) 625</w:t>
      </w:r>
      <w:r>
        <w:rPr>
          <w:rFonts w:hint="cs"/>
          <w:rtl/>
        </w:rPr>
        <w:t xml:space="preserve">, 640 (2005)). בהקשר זה, לא תמיד ניתן לברר האם התייעצות נעשתה באופן </w:t>
      </w:r>
      <w:proofErr w:type="spellStart"/>
      <w:r>
        <w:rPr>
          <w:rFonts w:hint="cs"/>
          <w:rtl/>
        </w:rPr>
        <w:t>אמיתי</w:t>
      </w:r>
      <w:proofErr w:type="spellEnd"/>
      <w:r>
        <w:rPr>
          <w:rFonts w:hint="cs"/>
          <w:rtl/>
        </w:rPr>
        <w:t xml:space="preserve"> ולא מדומה. לעתים נדרש להסתמך על ראיות נסיבתיות, כגון נסיבות שבהן התבטאה הרשות </w:t>
      </w:r>
      <w:proofErr w:type="spellStart"/>
      <w:r>
        <w:rPr>
          <w:rFonts w:hint="cs"/>
          <w:rtl/>
        </w:rPr>
        <w:t>המינהלית</w:t>
      </w:r>
      <w:proofErr w:type="spellEnd"/>
      <w:r>
        <w:rPr>
          <w:rFonts w:hint="cs"/>
          <w:rtl/>
        </w:rPr>
        <w:t xml:space="preserve"> באופן פומבי לפני שלב ההתייעצות באופן המוכיח כי דעתה נעולה (</w:t>
      </w:r>
      <w:r>
        <w:rPr>
          <w:rFonts w:hint="eastAsia"/>
          <w:rtl/>
        </w:rPr>
        <w:t>בג</w:t>
      </w:r>
      <w:r>
        <w:rPr>
          <w:rFonts w:hint="cs"/>
          <w:rtl/>
        </w:rPr>
        <w:t>"</w:t>
      </w:r>
      <w:r>
        <w:rPr>
          <w:rFonts w:hint="eastAsia"/>
          <w:rtl/>
        </w:rPr>
        <w:t>ץ</w:t>
      </w:r>
      <w:r>
        <w:rPr>
          <w:rtl/>
        </w:rPr>
        <w:t xml:space="preserve"> 512/81 </w:t>
      </w:r>
      <w:r w:rsidRPr="007511F7">
        <w:rPr>
          <w:rFonts w:ascii="Century" w:hAnsi="Century" w:cs="Miriam" w:hint="eastAsia"/>
          <w:b/>
          <w:spacing w:val="0"/>
          <w:sz w:val="22"/>
          <w:szCs w:val="24"/>
          <w:rtl/>
        </w:rPr>
        <w:t>המכון</w:t>
      </w:r>
      <w:r w:rsidRPr="007511F7">
        <w:rPr>
          <w:rFonts w:ascii="Century" w:hAnsi="Century" w:cs="Miriam"/>
          <w:b/>
          <w:spacing w:val="0"/>
          <w:sz w:val="22"/>
          <w:szCs w:val="24"/>
          <w:rtl/>
        </w:rPr>
        <w:t xml:space="preserve"> </w:t>
      </w:r>
      <w:r w:rsidRPr="007511F7">
        <w:rPr>
          <w:rFonts w:ascii="Century" w:hAnsi="Century" w:cs="Miriam" w:hint="eastAsia"/>
          <w:b/>
          <w:spacing w:val="0"/>
          <w:sz w:val="22"/>
          <w:szCs w:val="24"/>
          <w:rtl/>
        </w:rPr>
        <w:t>לארכיאולוגיה</w:t>
      </w:r>
      <w:r w:rsidRPr="007511F7">
        <w:rPr>
          <w:rFonts w:ascii="Century" w:hAnsi="Century" w:cs="Miriam"/>
          <w:b/>
          <w:spacing w:val="0"/>
          <w:sz w:val="22"/>
          <w:szCs w:val="24"/>
          <w:rtl/>
        </w:rPr>
        <w:t xml:space="preserve"> </w:t>
      </w:r>
      <w:r w:rsidRPr="007511F7">
        <w:rPr>
          <w:rFonts w:ascii="Century" w:hAnsi="Century" w:cs="Miriam" w:hint="eastAsia"/>
          <w:b/>
          <w:spacing w:val="0"/>
          <w:sz w:val="22"/>
          <w:szCs w:val="24"/>
          <w:rtl/>
        </w:rPr>
        <w:t>של</w:t>
      </w:r>
      <w:r w:rsidRPr="007511F7">
        <w:rPr>
          <w:rFonts w:ascii="Century" w:hAnsi="Century" w:cs="Miriam"/>
          <w:b/>
          <w:spacing w:val="0"/>
          <w:sz w:val="22"/>
          <w:szCs w:val="24"/>
          <w:rtl/>
        </w:rPr>
        <w:t xml:space="preserve"> </w:t>
      </w:r>
      <w:r w:rsidRPr="007511F7">
        <w:rPr>
          <w:rFonts w:ascii="Century" w:hAnsi="Century" w:cs="Miriam" w:hint="eastAsia"/>
          <w:b/>
          <w:spacing w:val="0"/>
          <w:sz w:val="22"/>
          <w:szCs w:val="24"/>
          <w:rtl/>
        </w:rPr>
        <w:t>האוניברסיטה</w:t>
      </w:r>
      <w:r w:rsidRPr="007511F7">
        <w:rPr>
          <w:rFonts w:ascii="Century" w:hAnsi="Century" w:cs="Miriam"/>
          <w:b/>
          <w:spacing w:val="0"/>
          <w:sz w:val="22"/>
          <w:szCs w:val="24"/>
          <w:rtl/>
        </w:rPr>
        <w:t xml:space="preserve"> </w:t>
      </w:r>
      <w:r w:rsidRPr="007511F7">
        <w:rPr>
          <w:rFonts w:ascii="Century" w:hAnsi="Century" w:cs="Miriam" w:hint="eastAsia"/>
          <w:b/>
          <w:spacing w:val="0"/>
          <w:sz w:val="22"/>
          <w:szCs w:val="24"/>
          <w:rtl/>
        </w:rPr>
        <w:t>העברית</w:t>
      </w:r>
      <w:r w:rsidRPr="007511F7">
        <w:rPr>
          <w:rFonts w:ascii="Century" w:hAnsi="Century" w:cs="Miriam"/>
          <w:b/>
          <w:spacing w:val="0"/>
          <w:sz w:val="22"/>
          <w:szCs w:val="24"/>
          <w:rtl/>
        </w:rPr>
        <w:t xml:space="preserve">, </w:t>
      </w:r>
      <w:r w:rsidRPr="007511F7">
        <w:rPr>
          <w:rFonts w:ascii="Century" w:hAnsi="Century" w:cs="Miriam" w:hint="eastAsia"/>
          <w:b/>
          <w:spacing w:val="0"/>
          <w:sz w:val="22"/>
          <w:szCs w:val="24"/>
          <w:rtl/>
        </w:rPr>
        <w:t>ירושלים</w:t>
      </w:r>
      <w:r w:rsidRPr="007511F7">
        <w:rPr>
          <w:rFonts w:ascii="Century" w:hAnsi="Century" w:cs="Miriam"/>
          <w:b/>
          <w:spacing w:val="0"/>
          <w:sz w:val="22"/>
          <w:szCs w:val="24"/>
          <w:rtl/>
        </w:rPr>
        <w:t xml:space="preserve"> </w:t>
      </w:r>
      <w:r w:rsidRPr="007511F7">
        <w:rPr>
          <w:rFonts w:ascii="Century" w:hAnsi="Century" w:cs="Miriam" w:hint="eastAsia"/>
          <w:b/>
          <w:spacing w:val="0"/>
          <w:sz w:val="22"/>
          <w:szCs w:val="24"/>
          <w:rtl/>
        </w:rPr>
        <w:t>נ</w:t>
      </w:r>
      <w:r w:rsidRPr="007511F7">
        <w:rPr>
          <w:rFonts w:ascii="Century" w:hAnsi="Century" w:cs="Miriam"/>
          <w:b/>
          <w:spacing w:val="0"/>
          <w:sz w:val="22"/>
          <w:szCs w:val="24"/>
          <w:rtl/>
        </w:rPr>
        <w:t xml:space="preserve">' </w:t>
      </w:r>
      <w:r w:rsidRPr="007511F7">
        <w:rPr>
          <w:rFonts w:ascii="Century" w:hAnsi="Century" w:cs="Miriam" w:hint="eastAsia"/>
          <w:b/>
          <w:spacing w:val="0"/>
          <w:sz w:val="22"/>
          <w:szCs w:val="24"/>
          <w:rtl/>
        </w:rPr>
        <w:t>שר</w:t>
      </w:r>
      <w:r w:rsidRPr="007511F7">
        <w:rPr>
          <w:rFonts w:ascii="Century" w:hAnsi="Century" w:cs="Miriam"/>
          <w:b/>
          <w:spacing w:val="0"/>
          <w:sz w:val="22"/>
          <w:szCs w:val="24"/>
          <w:rtl/>
        </w:rPr>
        <w:t xml:space="preserve"> </w:t>
      </w:r>
      <w:r w:rsidRPr="007511F7">
        <w:rPr>
          <w:rFonts w:ascii="Century" w:hAnsi="Century" w:cs="Miriam" w:hint="eastAsia"/>
          <w:b/>
          <w:spacing w:val="0"/>
          <w:sz w:val="22"/>
          <w:szCs w:val="24"/>
          <w:rtl/>
        </w:rPr>
        <w:t>החינוך</w:t>
      </w:r>
      <w:r w:rsidRPr="007511F7">
        <w:rPr>
          <w:rFonts w:ascii="Century" w:hAnsi="Century" w:cs="Miriam"/>
          <w:b/>
          <w:spacing w:val="0"/>
          <w:sz w:val="22"/>
          <w:szCs w:val="24"/>
          <w:rtl/>
        </w:rPr>
        <w:t xml:space="preserve"> </w:t>
      </w:r>
      <w:r w:rsidRPr="007511F7">
        <w:rPr>
          <w:rFonts w:ascii="Century" w:hAnsi="Century" w:cs="Miriam" w:hint="eastAsia"/>
          <w:b/>
          <w:spacing w:val="0"/>
          <w:sz w:val="22"/>
          <w:szCs w:val="24"/>
          <w:rtl/>
        </w:rPr>
        <w:t>והתרבות</w:t>
      </w:r>
      <w:r>
        <w:rPr>
          <w:rtl/>
        </w:rPr>
        <w:t xml:space="preserve">, </w:t>
      </w:r>
      <w:r>
        <w:rPr>
          <w:rFonts w:hint="eastAsia"/>
          <w:rtl/>
        </w:rPr>
        <w:t>פ</w:t>
      </w:r>
      <w:r>
        <w:rPr>
          <w:rFonts w:hint="cs"/>
          <w:rtl/>
        </w:rPr>
        <w:t>"</w:t>
      </w:r>
      <w:r>
        <w:rPr>
          <w:rFonts w:hint="eastAsia"/>
          <w:rtl/>
        </w:rPr>
        <w:t>ד</w:t>
      </w:r>
      <w:r>
        <w:rPr>
          <w:rtl/>
        </w:rPr>
        <w:t xml:space="preserve"> </w:t>
      </w:r>
      <w:r>
        <w:rPr>
          <w:rFonts w:hint="eastAsia"/>
          <w:rtl/>
        </w:rPr>
        <w:t>לה</w:t>
      </w:r>
      <w:r>
        <w:rPr>
          <w:rtl/>
        </w:rPr>
        <w:t>(4) 533</w:t>
      </w:r>
      <w:r>
        <w:rPr>
          <w:rFonts w:hint="cs"/>
          <w:rtl/>
        </w:rPr>
        <w:t xml:space="preserve">, 541 (1981); </w:t>
      </w:r>
      <w:r w:rsidRPr="007511F7">
        <w:rPr>
          <w:rFonts w:ascii="Century" w:hAnsi="Century" w:cs="Miriam" w:hint="cs"/>
          <w:b/>
          <w:spacing w:val="0"/>
          <w:sz w:val="22"/>
          <w:szCs w:val="24"/>
          <w:rtl/>
        </w:rPr>
        <w:t xml:space="preserve">זמיר, הסמכות </w:t>
      </w:r>
      <w:proofErr w:type="spellStart"/>
      <w:r w:rsidRPr="007511F7">
        <w:rPr>
          <w:rFonts w:ascii="Century" w:hAnsi="Century" w:cs="Miriam" w:hint="cs"/>
          <w:b/>
          <w:spacing w:val="0"/>
          <w:sz w:val="22"/>
          <w:szCs w:val="24"/>
          <w:rtl/>
        </w:rPr>
        <w:t>המינהלית</w:t>
      </w:r>
      <w:proofErr w:type="spellEnd"/>
      <w:r>
        <w:rPr>
          <w:rFonts w:hint="cs"/>
          <w:rtl/>
        </w:rPr>
        <w:t>, עמ' 1216).</w:t>
      </w:r>
    </w:p>
    <w:p w:rsidR="00282F22" w:rsidRPr="00326D31" w:rsidRDefault="00282F22" w:rsidP="00282F22">
      <w:pPr>
        <w:pStyle w:val="Ruller41"/>
        <w:rPr>
          <w:rtl/>
        </w:rPr>
      </w:pPr>
    </w:p>
    <w:p w:rsidR="00282F22" w:rsidRDefault="00282F22" w:rsidP="00282F22">
      <w:pPr>
        <w:pStyle w:val="Ruller4"/>
        <w:rPr>
          <w:rtl/>
        </w:rPr>
      </w:pPr>
      <w:r>
        <w:rPr>
          <w:rFonts w:hint="cs"/>
          <w:rtl/>
        </w:rPr>
        <w:t xml:space="preserve">על כך יש להוסיף את הכלל לפיו </w:t>
      </w:r>
      <w:r w:rsidRPr="000C71EE">
        <w:rPr>
          <w:rFonts w:hint="eastAsia"/>
          <w:rtl/>
        </w:rPr>
        <w:t>רשות</w:t>
      </w:r>
      <w:r w:rsidRPr="000C71EE">
        <w:rPr>
          <w:rtl/>
        </w:rPr>
        <w:t xml:space="preserve"> </w:t>
      </w:r>
      <w:proofErr w:type="spellStart"/>
      <w:r w:rsidRPr="000C71EE">
        <w:rPr>
          <w:rFonts w:hint="eastAsia"/>
          <w:rtl/>
        </w:rPr>
        <w:t>מינהלית</w:t>
      </w:r>
      <w:proofErr w:type="spellEnd"/>
      <w:r w:rsidRPr="000C71EE">
        <w:rPr>
          <w:rtl/>
        </w:rPr>
        <w:t xml:space="preserve"> </w:t>
      </w:r>
      <w:r w:rsidRPr="000C71EE">
        <w:rPr>
          <w:rFonts w:hint="eastAsia"/>
          <w:rtl/>
        </w:rPr>
        <w:t>לא</w:t>
      </w:r>
      <w:r w:rsidRPr="000C71EE">
        <w:rPr>
          <w:rtl/>
        </w:rPr>
        <w:t xml:space="preserve"> </w:t>
      </w:r>
      <w:r w:rsidRPr="000C71EE">
        <w:rPr>
          <w:rFonts w:hint="eastAsia"/>
          <w:rtl/>
        </w:rPr>
        <w:t>תפעיל</w:t>
      </w:r>
      <w:r w:rsidRPr="000C71EE">
        <w:rPr>
          <w:rtl/>
        </w:rPr>
        <w:t xml:space="preserve"> </w:t>
      </w:r>
      <w:r w:rsidRPr="000C71EE">
        <w:rPr>
          <w:rFonts w:hint="eastAsia"/>
          <w:rtl/>
        </w:rPr>
        <w:t>סמכות</w:t>
      </w:r>
      <w:r w:rsidRPr="000C71EE">
        <w:rPr>
          <w:rtl/>
        </w:rPr>
        <w:t xml:space="preserve"> </w:t>
      </w:r>
      <w:r w:rsidRPr="000C71EE">
        <w:rPr>
          <w:rFonts w:hint="eastAsia"/>
          <w:rtl/>
        </w:rPr>
        <w:t>באופן</w:t>
      </w:r>
      <w:r w:rsidRPr="000C71EE">
        <w:rPr>
          <w:rtl/>
        </w:rPr>
        <w:t xml:space="preserve"> </w:t>
      </w:r>
      <w:r w:rsidRPr="000C71EE">
        <w:rPr>
          <w:rFonts w:hint="eastAsia"/>
          <w:rtl/>
        </w:rPr>
        <w:t>שיש</w:t>
      </w:r>
      <w:r w:rsidRPr="000C71EE">
        <w:rPr>
          <w:rtl/>
        </w:rPr>
        <w:t xml:space="preserve"> </w:t>
      </w:r>
      <w:r w:rsidRPr="000C71EE">
        <w:rPr>
          <w:rFonts w:hint="eastAsia"/>
          <w:rtl/>
        </w:rPr>
        <w:t>בו</w:t>
      </w:r>
      <w:r w:rsidRPr="000C71EE">
        <w:rPr>
          <w:rtl/>
        </w:rPr>
        <w:t xml:space="preserve"> </w:t>
      </w:r>
      <w:r w:rsidRPr="000C71EE">
        <w:rPr>
          <w:rFonts w:hint="eastAsia"/>
          <w:rtl/>
        </w:rPr>
        <w:t>כדי</w:t>
      </w:r>
      <w:r w:rsidRPr="000C71EE">
        <w:rPr>
          <w:rtl/>
        </w:rPr>
        <w:t xml:space="preserve"> </w:t>
      </w:r>
      <w:r w:rsidRPr="000C71EE">
        <w:rPr>
          <w:rFonts w:hint="eastAsia"/>
          <w:rtl/>
        </w:rPr>
        <w:t>לפגוע</w:t>
      </w:r>
      <w:r w:rsidRPr="000C71EE">
        <w:rPr>
          <w:rtl/>
        </w:rPr>
        <w:t xml:space="preserve"> </w:t>
      </w:r>
      <w:r w:rsidRPr="000C71EE">
        <w:rPr>
          <w:rFonts w:hint="eastAsia"/>
          <w:rtl/>
        </w:rPr>
        <w:t>ב</w:t>
      </w:r>
      <w:r>
        <w:rPr>
          <w:rFonts w:hint="cs"/>
          <w:rtl/>
        </w:rPr>
        <w:t xml:space="preserve">אינטרס או בזכות של </w:t>
      </w:r>
      <w:r w:rsidRPr="000C71EE">
        <w:rPr>
          <w:rFonts w:hint="eastAsia"/>
          <w:rtl/>
        </w:rPr>
        <w:t>אדם</w:t>
      </w:r>
      <w:r w:rsidRPr="000C71EE">
        <w:rPr>
          <w:rtl/>
        </w:rPr>
        <w:t xml:space="preserve"> </w:t>
      </w:r>
      <w:r w:rsidRPr="000C71EE">
        <w:rPr>
          <w:rFonts w:hint="eastAsia"/>
          <w:rtl/>
        </w:rPr>
        <w:t>לפני</w:t>
      </w:r>
      <w:r w:rsidRPr="000C71EE">
        <w:rPr>
          <w:rtl/>
        </w:rPr>
        <w:t xml:space="preserve"> </w:t>
      </w:r>
      <w:r w:rsidRPr="000C71EE">
        <w:rPr>
          <w:rFonts w:hint="eastAsia"/>
          <w:rtl/>
        </w:rPr>
        <w:t>שניתנה</w:t>
      </w:r>
      <w:r w:rsidRPr="000C71EE">
        <w:rPr>
          <w:rtl/>
        </w:rPr>
        <w:t xml:space="preserve"> </w:t>
      </w:r>
      <w:r w:rsidRPr="000C71EE">
        <w:rPr>
          <w:rFonts w:hint="eastAsia"/>
          <w:rtl/>
        </w:rPr>
        <w:t>לו</w:t>
      </w:r>
      <w:r w:rsidRPr="000C71EE">
        <w:rPr>
          <w:rtl/>
        </w:rPr>
        <w:t xml:space="preserve"> </w:t>
      </w:r>
      <w:r w:rsidRPr="000C71EE">
        <w:rPr>
          <w:rFonts w:hint="eastAsia"/>
          <w:rtl/>
        </w:rPr>
        <w:t>הזדמנות</w:t>
      </w:r>
      <w:r w:rsidRPr="000C71EE">
        <w:rPr>
          <w:rtl/>
        </w:rPr>
        <w:t xml:space="preserve"> </w:t>
      </w:r>
      <w:r w:rsidRPr="000C71EE">
        <w:rPr>
          <w:rFonts w:hint="eastAsia"/>
          <w:rtl/>
        </w:rPr>
        <w:t>נאותה</w:t>
      </w:r>
      <w:r w:rsidRPr="000C71EE">
        <w:rPr>
          <w:rtl/>
        </w:rPr>
        <w:t xml:space="preserve"> </w:t>
      </w:r>
      <w:r w:rsidRPr="000C71EE">
        <w:rPr>
          <w:rFonts w:hint="eastAsia"/>
          <w:rtl/>
        </w:rPr>
        <w:t>להשמיע</w:t>
      </w:r>
      <w:r w:rsidRPr="000C71EE">
        <w:rPr>
          <w:rtl/>
        </w:rPr>
        <w:t xml:space="preserve"> </w:t>
      </w:r>
      <w:r w:rsidRPr="000C71EE">
        <w:rPr>
          <w:rFonts w:hint="eastAsia"/>
          <w:rtl/>
        </w:rPr>
        <w:t>טיעוניו</w:t>
      </w:r>
      <w:r w:rsidRPr="000C71EE">
        <w:rPr>
          <w:rtl/>
        </w:rPr>
        <w:t xml:space="preserve"> </w:t>
      </w:r>
      <w:r>
        <w:rPr>
          <w:rFonts w:hint="cs"/>
          <w:rtl/>
        </w:rPr>
        <w:t>ל</w:t>
      </w:r>
      <w:r w:rsidRPr="000C71EE">
        <w:rPr>
          <w:rFonts w:hint="eastAsia"/>
          <w:rtl/>
        </w:rPr>
        <w:t>פניה</w:t>
      </w:r>
      <w:r>
        <w:rPr>
          <w:rFonts w:hint="cs"/>
          <w:rtl/>
        </w:rPr>
        <w:t xml:space="preserve">. גם חובה זו, חובת השימוע, יש לקיים בלב פתוח ובנפש חפצה תוך נכונות לשמוע, </w:t>
      </w:r>
      <w:proofErr w:type="spellStart"/>
      <w:r>
        <w:rPr>
          <w:rFonts w:hint="cs"/>
          <w:rtl/>
        </w:rPr>
        <w:t>ליתן</w:t>
      </w:r>
      <w:proofErr w:type="spellEnd"/>
      <w:r>
        <w:rPr>
          <w:rFonts w:hint="cs"/>
          <w:rtl/>
        </w:rPr>
        <w:t xml:space="preserve"> הזדמנות אפקטיבית לנסות ולהשפיע על ההחלטה ולא על מנת לצאת ידי חובה </w:t>
      </w:r>
      <w:r w:rsidRPr="000C71EE">
        <w:rPr>
          <w:rtl/>
        </w:rPr>
        <w:t>(</w:t>
      </w:r>
      <w:r w:rsidRPr="000C71EE">
        <w:rPr>
          <w:rFonts w:hint="eastAsia"/>
          <w:rtl/>
        </w:rPr>
        <w:t>בג</w:t>
      </w:r>
      <w:r w:rsidRPr="000C71EE">
        <w:rPr>
          <w:rtl/>
        </w:rPr>
        <w:t>"</w:t>
      </w:r>
      <w:r>
        <w:rPr>
          <w:rFonts w:hint="cs"/>
          <w:rtl/>
        </w:rPr>
        <w:t>ץ</w:t>
      </w:r>
      <w:r w:rsidRPr="000C71EE">
        <w:rPr>
          <w:rtl/>
        </w:rPr>
        <w:t xml:space="preserve"> 3/58 </w:t>
      </w:r>
      <w:r w:rsidRPr="001C60CC">
        <w:rPr>
          <w:rFonts w:ascii="Century" w:hAnsi="Century" w:cs="Miriam" w:hint="eastAsia"/>
          <w:b/>
          <w:spacing w:val="0"/>
          <w:sz w:val="22"/>
          <w:szCs w:val="24"/>
          <w:rtl/>
        </w:rPr>
        <w:t>ברמן</w:t>
      </w:r>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נ</w:t>
      </w:r>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שר</w:t>
      </w:r>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הפנים</w:t>
      </w:r>
      <w:r w:rsidRPr="000C71EE">
        <w:rPr>
          <w:rtl/>
        </w:rPr>
        <w:t xml:space="preserve">, </w:t>
      </w:r>
      <w:r w:rsidRPr="000C71EE">
        <w:rPr>
          <w:rFonts w:hint="eastAsia"/>
          <w:rtl/>
        </w:rPr>
        <w:t>פ</w:t>
      </w:r>
      <w:r w:rsidRPr="000C71EE">
        <w:rPr>
          <w:rtl/>
        </w:rPr>
        <w:t>"</w:t>
      </w:r>
      <w:r w:rsidRPr="000C71EE">
        <w:rPr>
          <w:rFonts w:hint="eastAsia"/>
          <w:rtl/>
        </w:rPr>
        <w:t>ד</w:t>
      </w:r>
      <w:r w:rsidRPr="000C71EE">
        <w:rPr>
          <w:rtl/>
        </w:rPr>
        <w:t xml:space="preserve"> </w:t>
      </w:r>
      <w:proofErr w:type="spellStart"/>
      <w:r w:rsidRPr="000C71EE">
        <w:rPr>
          <w:rFonts w:hint="eastAsia"/>
          <w:rtl/>
        </w:rPr>
        <w:t>יב</w:t>
      </w:r>
      <w:proofErr w:type="spellEnd"/>
      <w:r w:rsidRPr="000C71EE">
        <w:rPr>
          <w:rtl/>
        </w:rPr>
        <w:t xml:space="preserve"> 1493, 1508 (1958); </w:t>
      </w:r>
      <w:r w:rsidRPr="000C71EE">
        <w:rPr>
          <w:rFonts w:hint="eastAsia"/>
          <w:rtl/>
        </w:rPr>
        <w:t>בג</w:t>
      </w:r>
      <w:r w:rsidRPr="000C71EE">
        <w:rPr>
          <w:rtl/>
        </w:rPr>
        <w:t>"</w:t>
      </w:r>
      <w:r w:rsidRPr="000C71EE">
        <w:rPr>
          <w:rFonts w:hint="eastAsia"/>
          <w:rtl/>
        </w:rPr>
        <w:t>צ</w:t>
      </w:r>
      <w:r w:rsidRPr="000C71EE">
        <w:rPr>
          <w:rtl/>
        </w:rPr>
        <w:t xml:space="preserve"> 3379/03 </w:t>
      </w:r>
      <w:proofErr w:type="spellStart"/>
      <w:r w:rsidRPr="00764936">
        <w:rPr>
          <w:rFonts w:ascii="Century" w:hAnsi="Century" w:cs="Miriam" w:hint="eastAsia"/>
          <w:b/>
          <w:spacing w:val="0"/>
          <w:sz w:val="22"/>
          <w:szCs w:val="24"/>
          <w:rtl/>
        </w:rPr>
        <w:t>מוסטקי</w:t>
      </w:r>
      <w:proofErr w:type="spellEnd"/>
      <w:r w:rsidRPr="00764936">
        <w:rPr>
          <w:rFonts w:ascii="Century" w:hAnsi="Century" w:cs="Miriam"/>
          <w:b/>
          <w:spacing w:val="0"/>
          <w:sz w:val="22"/>
          <w:szCs w:val="24"/>
          <w:rtl/>
        </w:rPr>
        <w:t xml:space="preserve"> </w:t>
      </w:r>
      <w:r w:rsidRPr="00764936">
        <w:rPr>
          <w:rFonts w:ascii="Century" w:hAnsi="Century" w:cs="Miriam" w:hint="eastAsia"/>
          <w:b/>
          <w:spacing w:val="0"/>
          <w:sz w:val="22"/>
          <w:szCs w:val="24"/>
          <w:rtl/>
        </w:rPr>
        <w:t>נ</w:t>
      </w:r>
      <w:r w:rsidRPr="00764936">
        <w:rPr>
          <w:rFonts w:ascii="Century" w:hAnsi="Century" w:cs="Miriam"/>
          <w:b/>
          <w:spacing w:val="0"/>
          <w:sz w:val="22"/>
          <w:szCs w:val="24"/>
          <w:rtl/>
        </w:rPr>
        <w:t xml:space="preserve">' </w:t>
      </w:r>
      <w:r w:rsidRPr="00764936">
        <w:rPr>
          <w:rFonts w:ascii="Century" w:hAnsi="Century" w:cs="Miriam" w:hint="eastAsia"/>
          <w:b/>
          <w:spacing w:val="0"/>
          <w:sz w:val="22"/>
          <w:szCs w:val="24"/>
          <w:rtl/>
        </w:rPr>
        <w:t>פרקליטות</w:t>
      </w:r>
      <w:r w:rsidRPr="00764936">
        <w:rPr>
          <w:rFonts w:ascii="Century" w:hAnsi="Century" w:cs="Miriam"/>
          <w:b/>
          <w:spacing w:val="0"/>
          <w:sz w:val="22"/>
          <w:szCs w:val="24"/>
          <w:rtl/>
        </w:rPr>
        <w:t xml:space="preserve"> </w:t>
      </w:r>
      <w:r w:rsidRPr="00764936">
        <w:rPr>
          <w:rFonts w:ascii="Century" w:hAnsi="Century" w:cs="Miriam" w:hint="eastAsia"/>
          <w:b/>
          <w:spacing w:val="0"/>
          <w:sz w:val="22"/>
          <w:szCs w:val="24"/>
          <w:rtl/>
        </w:rPr>
        <w:t>המדינה</w:t>
      </w:r>
      <w:r w:rsidRPr="000C71EE">
        <w:rPr>
          <w:rtl/>
        </w:rPr>
        <w:t xml:space="preserve">, </w:t>
      </w:r>
      <w:r w:rsidRPr="000C71EE">
        <w:rPr>
          <w:rFonts w:hint="eastAsia"/>
          <w:rtl/>
        </w:rPr>
        <w:t>פ</w:t>
      </w:r>
      <w:r w:rsidRPr="000C71EE">
        <w:rPr>
          <w:rtl/>
        </w:rPr>
        <w:t>"</w:t>
      </w:r>
      <w:r w:rsidRPr="000C71EE">
        <w:rPr>
          <w:rFonts w:hint="eastAsia"/>
          <w:rtl/>
        </w:rPr>
        <w:t>ד</w:t>
      </w:r>
      <w:r w:rsidRPr="000C71EE">
        <w:rPr>
          <w:rtl/>
        </w:rPr>
        <w:t xml:space="preserve"> </w:t>
      </w:r>
      <w:r w:rsidRPr="000C71EE">
        <w:rPr>
          <w:rFonts w:hint="eastAsia"/>
          <w:rtl/>
        </w:rPr>
        <w:t>נח</w:t>
      </w:r>
      <w:r>
        <w:rPr>
          <w:rtl/>
        </w:rPr>
        <w:t>(</w:t>
      </w:r>
      <w:r>
        <w:rPr>
          <w:rFonts w:hint="cs"/>
          <w:rtl/>
        </w:rPr>
        <w:t>3</w:t>
      </w:r>
      <w:r>
        <w:rPr>
          <w:rtl/>
        </w:rPr>
        <w:t xml:space="preserve">) 865, </w:t>
      </w:r>
      <w:r>
        <w:rPr>
          <w:rFonts w:hint="cs"/>
          <w:rtl/>
        </w:rPr>
        <w:t>891-889</w:t>
      </w:r>
      <w:r>
        <w:rPr>
          <w:rtl/>
        </w:rPr>
        <w:t xml:space="preserve"> (2004)</w:t>
      </w:r>
      <w:r>
        <w:rPr>
          <w:rFonts w:hint="cs"/>
          <w:rtl/>
        </w:rPr>
        <w:t xml:space="preserve">; </w:t>
      </w:r>
      <w:r w:rsidRPr="00326D31">
        <w:rPr>
          <w:rFonts w:hint="eastAsia"/>
          <w:rtl/>
        </w:rPr>
        <w:t>דפנה</w:t>
      </w:r>
      <w:r w:rsidRPr="00326D31">
        <w:rPr>
          <w:rtl/>
        </w:rPr>
        <w:t xml:space="preserve"> </w:t>
      </w:r>
      <w:r w:rsidRPr="00326D31">
        <w:rPr>
          <w:rFonts w:hint="eastAsia"/>
          <w:rtl/>
        </w:rPr>
        <w:t>ברק</w:t>
      </w:r>
      <w:r w:rsidRPr="00326D31">
        <w:rPr>
          <w:rtl/>
        </w:rPr>
        <w:t>-</w:t>
      </w:r>
      <w:r w:rsidRPr="00326D31">
        <w:rPr>
          <w:rFonts w:hint="eastAsia"/>
          <w:rtl/>
        </w:rPr>
        <w:t>ארז</w:t>
      </w:r>
      <w:r w:rsidRPr="00326D31">
        <w:rPr>
          <w:rtl/>
        </w:rPr>
        <w:t xml:space="preserve"> </w:t>
      </w:r>
      <w:r w:rsidRPr="001C60CC">
        <w:rPr>
          <w:rFonts w:ascii="Century" w:hAnsi="Century" w:cs="Miriam" w:hint="eastAsia"/>
          <w:b/>
          <w:spacing w:val="0"/>
          <w:sz w:val="22"/>
          <w:szCs w:val="24"/>
          <w:rtl/>
        </w:rPr>
        <w:t>משפט</w:t>
      </w:r>
      <w:r w:rsidRPr="001C60CC">
        <w:rPr>
          <w:rFonts w:ascii="Century" w:hAnsi="Century" w:cs="Miriam"/>
          <w:b/>
          <w:spacing w:val="0"/>
          <w:sz w:val="22"/>
          <w:szCs w:val="24"/>
          <w:rtl/>
        </w:rPr>
        <w:t xml:space="preserve"> </w:t>
      </w:r>
      <w:proofErr w:type="spellStart"/>
      <w:r w:rsidRPr="001C60CC">
        <w:rPr>
          <w:rFonts w:ascii="Century" w:hAnsi="Century" w:cs="Miriam" w:hint="eastAsia"/>
          <w:b/>
          <w:spacing w:val="0"/>
          <w:sz w:val="22"/>
          <w:szCs w:val="24"/>
          <w:rtl/>
        </w:rPr>
        <w:t>מינהלי</w:t>
      </w:r>
      <w:proofErr w:type="spellEnd"/>
      <w:r w:rsidRPr="00326D31">
        <w:rPr>
          <w:rtl/>
        </w:rPr>
        <w:t xml:space="preserve"> </w:t>
      </w:r>
      <w:r w:rsidRPr="00326D31">
        <w:rPr>
          <w:rFonts w:hint="eastAsia"/>
          <w:rtl/>
        </w:rPr>
        <w:t>כרך</w:t>
      </w:r>
      <w:r w:rsidRPr="00326D31">
        <w:rPr>
          <w:rtl/>
        </w:rPr>
        <w:t xml:space="preserve"> </w:t>
      </w:r>
      <w:r w:rsidRPr="00326D31">
        <w:rPr>
          <w:rFonts w:hint="eastAsia"/>
          <w:rtl/>
        </w:rPr>
        <w:t>א</w:t>
      </w:r>
      <w:r w:rsidRPr="00326D31">
        <w:rPr>
          <w:rtl/>
        </w:rPr>
        <w:t xml:space="preserve"> 461 (2010)</w:t>
      </w:r>
      <w:r>
        <w:rPr>
          <w:rFonts w:hint="cs"/>
          <w:rtl/>
        </w:rPr>
        <w:t xml:space="preserve">). אכן, זכות השימוע היא </w:t>
      </w:r>
      <w:r w:rsidRPr="000C71EE">
        <w:rPr>
          <w:rFonts w:hint="eastAsia"/>
          <w:rtl/>
        </w:rPr>
        <w:t>זכות</w:t>
      </w:r>
      <w:r w:rsidRPr="000C71EE">
        <w:rPr>
          <w:rtl/>
        </w:rPr>
        <w:t xml:space="preserve"> </w:t>
      </w:r>
      <w:r w:rsidRPr="000C71EE">
        <w:rPr>
          <w:rFonts w:hint="eastAsia"/>
          <w:rtl/>
        </w:rPr>
        <w:t>יחסית</w:t>
      </w:r>
      <w:r>
        <w:rPr>
          <w:rFonts w:hint="cs"/>
          <w:rtl/>
        </w:rPr>
        <w:t xml:space="preserve"> במובן זה ש</w:t>
      </w:r>
      <w:r w:rsidRPr="000C71EE">
        <w:rPr>
          <w:rFonts w:hint="eastAsia"/>
          <w:rtl/>
        </w:rPr>
        <w:t>היקפה</w:t>
      </w:r>
      <w:r w:rsidRPr="000C71EE">
        <w:rPr>
          <w:rtl/>
        </w:rPr>
        <w:t xml:space="preserve"> </w:t>
      </w:r>
      <w:r w:rsidRPr="000C71EE">
        <w:rPr>
          <w:rFonts w:hint="eastAsia"/>
          <w:rtl/>
        </w:rPr>
        <w:t>ודרכי</w:t>
      </w:r>
      <w:r w:rsidRPr="000C71EE">
        <w:rPr>
          <w:rtl/>
        </w:rPr>
        <w:t xml:space="preserve"> </w:t>
      </w:r>
      <w:r w:rsidRPr="000C71EE">
        <w:rPr>
          <w:rFonts w:hint="eastAsia"/>
          <w:rtl/>
        </w:rPr>
        <w:t>הגשמתה</w:t>
      </w:r>
      <w:r w:rsidRPr="000C71EE">
        <w:rPr>
          <w:rtl/>
        </w:rPr>
        <w:t xml:space="preserve"> </w:t>
      </w:r>
      <w:r w:rsidRPr="000C71EE">
        <w:rPr>
          <w:rFonts w:hint="eastAsia"/>
          <w:rtl/>
        </w:rPr>
        <w:t>נגזרים</w:t>
      </w:r>
      <w:r w:rsidRPr="000C71EE">
        <w:rPr>
          <w:rtl/>
        </w:rPr>
        <w:t xml:space="preserve"> </w:t>
      </w:r>
      <w:r w:rsidRPr="000C71EE">
        <w:rPr>
          <w:rFonts w:hint="eastAsia"/>
          <w:rtl/>
        </w:rPr>
        <w:t>מנסיבותיו</w:t>
      </w:r>
      <w:r w:rsidRPr="000C71EE">
        <w:rPr>
          <w:rtl/>
        </w:rPr>
        <w:t xml:space="preserve"> </w:t>
      </w:r>
      <w:r w:rsidRPr="000C71EE">
        <w:rPr>
          <w:rFonts w:hint="eastAsia"/>
          <w:rtl/>
        </w:rPr>
        <w:t>המשתנות</w:t>
      </w:r>
      <w:r w:rsidRPr="000C71EE">
        <w:rPr>
          <w:rtl/>
        </w:rPr>
        <w:t xml:space="preserve"> </w:t>
      </w:r>
      <w:r w:rsidRPr="000C71EE">
        <w:rPr>
          <w:rFonts w:hint="eastAsia"/>
          <w:rtl/>
        </w:rPr>
        <w:t>של</w:t>
      </w:r>
      <w:r w:rsidRPr="000C71EE">
        <w:rPr>
          <w:rtl/>
        </w:rPr>
        <w:t xml:space="preserve"> </w:t>
      </w:r>
      <w:r w:rsidRPr="000C71EE">
        <w:rPr>
          <w:rFonts w:hint="eastAsia"/>
          <w:rtl/>
        </w:rPr>
        <w:t>כל</w:t>
      </w:r>
      <w:r w:rsidRPr="000C71EE">
        <w:rPr>
          <w:rtl/>
        </w:rPr>
        <w:t xml:space="preserve"> </w:t>
      </w:r>
      <w:r w:rsidRPr="000C71EE">
        <w:rPr>
          <w:rFonts w:hint="eastAsia"/>
          <w:rtl/>
        </w:rPr>
        <w:t>מקרה</w:t>
      </w:r>
      <w:r>
        <w:rPr>
          <w:rFonts w:hint="cs"/>
          <w:rtl/>
        </w:rPr>
        <w:t xml:space="preserve">. היא מוגבלת במצבים מסוימים ויש והיא תיסוג מפני אינטרסים מתחרים </w:t>
      </w:r>
      <w:r w:rsidRPr="000C71EE">
        <w:rPr>
          <w:rtl/>
        </w:rPr>
        <w:t>(</w:t>
      </w:r>
      <w:r w:rsidRPr="000C71EE">
        <w:rPr>
          <w:rFonts w:hint="eastAsia"/>
          <w:rtl/>
        </w:rPr>
        <w:t>בג</w:t>
      </w:r>
      <w:r w:rsidRPr="000C71EE">
        <w:rPr>
          <w:rtl/>
        </w:rPr>
        <w:t>"</w:t>
      </w:r>
      <w:r>
        <w:rPr>
          <w:rFonts w:hint="cs"/>
          <w:rtl/>
        </w:rPr>
        <w:t>ץ</w:t>
      </w:r>
      <w:r w:rsidRPr="000C71EE">
        <w:rPr>
          <w:rtl/>
        </w:rPr>
        <w:t xml:space="preserve"> 3495/06 </w:t>
      </w:r>
      <w:r w:rsidRPr="00764936">
        <w:rPr>
          <w:rFonts w:ascii="Century" w:hAnsi="Century" w:cs="Miriam" w:hint="eastAsia"/>
          <w:b/>
          <w:spacing w:val="0"/>
          <w:sz w:val="22"/>
          <w:szCs w:val="24"/>
          <w:rtl/>
        </w:rPr>
        <w:t>הרב</w:t>
      </w:r>
      <w:r w:rsidRPr="00764936">
        <w:rPr>
          <w:rFonts w:ascii="Century" w:hAnsi="Century" w:cs="Miriam"/>
          <w:b/>
          <w:spacing w:val="0"/>
          <w:sz w:val="22"/>
          <w:szCs w:val="24"/>
          <w:rtl/>
        </w:rPr>
        <w:t xml:space="preserve"> </w:t>
      </w:r>
      <w:r w:rsidRPr="00764936">
        <w:rPr>
          <w:rFonts w:ascii="Century" w:hAnsi="Century" w:cs="Miriam" w:hint="eastAsia"/>
          <w:b/>
          <w:spacing w:val="0"/>
          <w:sz w:val="22"/>
          <w:szCs w:val="24"/>
          <w:rtl/>
        </w:rPr>
        <w:t>הראשי</w:t>
      </w:r>
      <w:r w:rsidRPr="00764936">
        <w:rPr>
          <w:rFonts w:ascii="Century" w:hAnsi="Century" w:cs="Miriam"/>
          <w:b/>
          <w:spacing w:val="0"/>
          <w:sz w:val="22"/>
          <w:szCs w:val="24"/>
          <w:rtl/>
        </w:rPr>
        <w:t xml:space="preserve"> </w:t>
      </w:r>
      <w:r w:rsidRPr="00764936">
        <w:rPr>
          <w:rFonts w:ascii="Century" w:hAnsi="Century" w:cs="Miriam" w:hint="eastAsia"/>
          <w:b/>
          <w:spacing w:val="0"/>
          <w:sz w:val="22"/>
          <w:szCs w:val="24"/>
          <w:rtl/>
        </w:rPr>
        <w:t>לישראל</w:t>
      </w:r>
      <w:r>
        <w:rPr>
          <w:rFonts w:ascii="Century" w:hAnsi="Century" w:cs="Miriam" w:hint="cs"/>
          <w:b/>
          <w:spacing w:val="0"/>
          <w:sz w:val="22"/>
          <w:szCs w:val="24"/>
          <w:rtl/>
        </w:rPr>
        <w:t xml:space="preserve">, הרב יונה מצגר </w:t>
      </w:r>
      <w:r w:rsidRPr="00764936">
        <w:rPr>
          <w:rFonts w:ascii="Century" w:hAnsi="Century" w:cs="Miriam" w:hint="eastAsia"/>
          <w:b/>
          <w:spacing w:val="0"/>
          <w:sz w:val="22"/>
          <w:szCs w:val="24"/>
          <w:rtl/>
        </w:rPr>
        <w:t>נ</w:t>
      </w:r>
      <w:r w:rsidRPr="00764936">
        <w:rPr>
          <w:rFonts w:ascii="Century" w:hAnsi="Century" w:cs="Miriam"/>
          <w:b/>
          <w:spacing w:val="0"/>
          <w:sz w:val="22"/>
          <w:szCs w:val="24"/>
          <w:rtl/>
        </w:rPr>
        <w:t xml:space="preserve">' </w:t>
      </w:r>
      <w:r w:rsidRPr="00764936">
        <w:rPr>
          <w:rFonts w:ascii="Century" w:hAnsi="Century" w:cs="Miriam" w:hint="eastAsia"/>
          <w:b/>
          <w:spacing w:val="0"/>
          <w:sz w:val="22"/>
          <w:szCs w:val="24"/>
          <w:rtl/>
        </w:rPr>
        <w:t>היועץ</w:t>
      </w:r>
      <w:r w:rsidRPr="00764936">
        <w:rPr>
          <w:rFonts w:ascii="Century" w:hAnsi="Century" w:cs="Miriam"/>
          <w:b/>
          <w:spacing w:val="0"/>
          <w:sz w:val="22"/>
          <w:szCs w:val="24"/>
          <w:rtl/>
        </w:rPr>
        <w:t xml:space="preserve"> </w:t>
      </w:r>
      <w:r w:rsidRPr="00764936">
        <w:rPr>
          <w:rFonts w:ascii="Century" w:hAnsi="Century" w:cs="Miriam" w:hint="eastAsia"/>
          <w:b/>
          <w:spacing w:val="0"/>
          <w:sz w:val="22"/>
          <w:szCs w:val="24"/>
          <w:rtl/>
        </w:rPr>
        <w:t>המשפטי</w:t>
      </w:r>
      <w:r w:rsidRPr="00764936">
        <w:rPr>
          <w:rFonts w:ascii="Century" w:hAnsi="Century" w:cs="Miriam"/>
          <w:b/>
          <w:spacing w:val="0"/>
          <w:sz w:val="22"/>
          <w:szCs w:val="24"/>
          <w:rtl/>
        </w:rPr>
        <w:t xml:space="preserve"> </w:t>
      </w:r>
      <w:r w:rsidRPr="00764936">
        <w:rPr>
          <w:rFonts w:ascii="Century" w:hAnsi="Century" w:cs="Miriam" w:hint="eastAsia"/>
          <w:b/>
          <w:spacing w:val="0"/>
          <w:sz w:val="22"/>
          <w:szCs w:val="24"/>
          <w:rtl/>
        </w:rPr>
        <w:t>לממשלה</w:t>
      </w:r>
      <w:r w:rsidRPr="000C71EE">
        <w:rPr>
          <w:rtl/>
        </w:rPr>
        <w:t xml:space="preserve">, </w:t>
      </w:r>
      <w:r>
        <w:rPr>
          <w:rFonts w:hint="cs"/>
          <w:rtl/>
        </w:rPr>
        <w:t>פסקה</w:t>
      </w:r>
      <w:r>
        <w:rPr>
          <w:rtl/>
        </w:rPr>
        <w:t xml:space="preserve"> 9 (</w:t>
      </w:r>
      <w:r>
        <w:rPr>
          <w:rFonts w:hint="cs"/>
          <w:rtl/>
        </w:rPr>
        <w:t xml:space="preserve">30.7.2007); </w:t>
      </w:r>
      <w:r w:rsidRPr="00326D31">
        <w:rPr>
          <w:rFonts w:hint="eastAsia"/>
          <w:rtl/>
        </w:rPr>
        <w:t>בג</w:t>
      </w:r>
      <w:r>
        <w:rPr>
          <w:rFonts w:hint="cs"/>
          <w:rtl/>
        </w:rPr>
        <w:t>"</w:t>
      </w:r>
      <w:r w:rsidRPr="00326D31">
        <w:rPr>
          <w:rFonts w:hint="eastAsia"/>
          <w:rtl/>
        </w:rPr>
        <w:t>ץ</w:t>
      </w:r>
      <w:r>
        <w:rPr>
          <w:rtl/>
        </w:rPr>
        <w:t xml:space="preserve"> 9518/16</w:t>
      </w:r>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הראל</w:t>
      </w:r>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נ</w:t>
      </w:r>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כנסת</w:t>
      </w:r>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ישראל</w:t>
      </w:r>
      <w:r>
        <w:rPr>
          <w:rFonts w:hint="cs"/>
          <w:rtl/>
        </w:rPr>
        <w:t xml:space="preserve">, פסקה </w:t>
      </w:r>
      <w:proofErr w:type="spellStart"/>
      <w:r>
        <w:rPr>
          <w:rFonts w:hint="cs"/>
          <w:rtl/>
        </w:rPr>
        <w:t>סו</w:t>
      </w:r>
      <w:proofErr w:type="spellEnd"/>
      <w:r>
        <w:rPr>
          <w:rFonts w:hint="cs"/>
          <w:rtl/>
        </w:rPr>
        <w:t xml:space="preserve"> (5.9.2017); </w:t>
      </w:r>
      <w:r w:rsidRPr="005208D6">
        <w:rPr>
          <w:rFonts w:hint="eastAsia"/>
          <w:rtl/>
        </w:rPr>
        <w:t>בג</w:t>
      </w:r>
      <w:r w:rsidRPr="005208D6">
        <w:rPr>
          <w:rtl/>
        </w:rPr>
        <w:t>"</w:t>
      </w:r>
      <w:r w:rsidRPr="005208D6">
        <w:rPr>
          <w:rFonts w:hint="eastAsia"/>
          <w:rtl/>
        </w:rPr>
        <w:t>ץ</w:t>
      </w:r>
      <w:r w:rsidRPr="005208D6">
        <w:rPr>
          <w:rtl/>
        </w:rPr>
        <w:t xml:space="preserve"> 1661/05 </w:t>
      </w:r>
      <w:r w:rsidRPr="001C60CC">
        <w:rPr>
          <w:rFonts w:ascii="Century" w:hAnsi="Century" w:cs="Miriam" w:hint="eastAsia"/>
          <w:b/>
          <w:spacing w:val="0"/>
          <w:sz w:val="22"/>
          <w:szCs w:val="24"/>
          <w:rtl/>
        </w:rPr>
        <w:t>המועצה</w:t>
      </w:r>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האזורית</w:t>
      </w:r>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חוף</w:t>
      </w:r>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עזה</w:t>
      </w:r>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נ</w:t>
      </w:r>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כנסת</w:t>
      </w:r>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ישראל</w:t>
      </w:r>
      <w:r w:rsidRPr="005208D6">
        <w:rPr>
          <w:rtl/>
        </w:rPr>
        <w:t xml:space="preserve">, </w:t>
      </w:r>
      <w:r w:rsidRPr="005208D6">
        <w:rPr>
          <w:rFonts w:hint="eastAsia"/>
          <w:rtl/>
        </w:rPr>
        <w:t>פ</w:t>
      </w:r>
      <w:r w:rsidRPr="005208D6">
        <w:rPr>
          <w:rtl/>
        </w:rPr>
        <w:t>"</w:t>
      </w:r>
      <w:r w:rsidRPr="005208D6">
        <w:rPr>
          <w:rFonts w:hint="eastAsia"/>
          <w:rtl/>
        </w:rPr>
        <w:t>ד</w:t>
      </w:r>
      <w:r w:rsidRPr="005208D6">
        <w:rPr>
          <w:rtl/>
        </w:rPr>
        <w:t xml:space="preserve"> </w:t>
      </w:r>
      <w:r w:rsidRPr="005208D6">
        <w:rPr>
          <w:rFonts w:hint="eastAsia"/>
          <w:rtl/>
        </w:rPr>
        <w:t>נט</w:t>
      </w:r>
      <w:r w:rsidRPr="005208D6">
        <w:rPr>
          <w:rtl/>
        </w:rPr>
        <w:t>(2) 481, 720 (2005)</w:t>
      </w:r>
      <w:r w:rsidRPr="000C71EE">
        <w:rPr>
          <w:rtl/>
        </w:rPr>
        <w:t>).</w:t>
      </w:r>
      <w:r>
        <w:rPr>
          <w:rFonts w:hint="cs"/>
          <w:rtl/>
        </w:rPr>
        <w:t xml:space="preserve"> בחינת קיומה והיקפה של חובת השימוע נגזרת בין היתר מ</w:t>
      </w:r>
      <w:r w:rsidRPr="001C60CC">
        <w:rPr>
          <w:rFonts w:hint="eastAsia"/>
          <w:rtl/>
        </w:rPr>
        <w:t>טיב</w:t>
      </w:r>
      <w:r w:rsidRPr="001C60CC">
        <w:rPr>
          <w:rtl/>
        </w:rPr>
        <w:t xml:space="preserve"> </w:t>
      </w:r>
      <w:r w:rsidRPr="001C60CC">
        <w:rPr>
          <w:rFonts w:hint="eastAsia"/>
          <w:rtl/>
        </w:rPr>
        <w:t>האינטרס</w:t>
      </w:r>
      <w:r w:rsidRPr="001C60CC">
        <w:rPr>
          <w:rtl/>
        </w:rPr>
        <w:t xml:space="preserve"> </w:t>
      </w:r>
      <w:r w:rsidRPr="001C60CC">
        <w:rPr>
          <w:rFonts w:hint="eastAsia"/>
          <w:rtl/>
        </w:rPr>
        <w:t>הנפגע</w:t>
      </w:r>
      <w:r>
        <w:rPr>
          <w:rFonts w:hint="cs"/>
          <w:rtl/>
        </w:rPr>
        <w:t xml:space="preserve">, </w:t>
      </w:r>
      <w:r w:rsidRPr="001C60CC">
        <w:rPr>
          <w:rFonts w:hint="eastAsia"/>
          <w:rtl/>
        </w:rPr>
        <w:t>אופי</w:t>
      </w:r>
      <w:r w:rsidRPr="001C60CC">
        <w:rPr>
          <w:rtl/>
        </w:rPr>
        <w:t xml:space="preserve"> </w:t>
      </w:r>
      <w:r w:rsidRPr="001C60CC">
        <w:rPr>
          <w:rFonts w:hint="eastAsia"/>
          <w:rtl/>
        </w:rPr>
        <w:t>הפגיעה</w:t>
      </w:r>
      <w:r w:rsidRPr="001C60CC">
        <w:rPr>
          <w:rtl/>
        </w:rPr>
        <w:t xml:space="preserve"> </w:t>
      </w:r>
      <w:r w:rsidRPr="001C60CC">
        <w:rPr>
          <w:rFonts w:hint="eastAsia"/>
          <w:rtl/>
        </w:rPr>
        <w:t>ועוצמתה</w:t>
      </w:r>
      <w:r>
        <w:rPr>
          <w:rFonts w:hint="cs"/>
          <w:rtl/>
        </w:rPr>
        <w:t xml:space="preserve"> (ראו למשל: </w:t>
      </w:r>
      <w:r w:rsidRPr="001C60CC">
        <w:rPr>
          <w:rFonts w:hint="eastAsia"/>
          <w:rtl/>
        </w:rPr>
        <w:t>בג</w:t>
      </w:r>
      <w:r>
        <w:rPr>
          <w:rFonts w:hint="cs"/>
          <w:rtl/>
        </w:rPr>
        <w:t>"</w:t>
      </w:r>
      <w:r w:rsidRPr="001C60CC">
        <w:rPr>
          <w:rFonts w:hint="eastAsia"/>
          <w:rtl/>
        </w:rPr>
        <w:t>ץ</w:t>
      </w:r>
      <w:r w:rsidRPr="001C60CC">
        <w:rPr>
          <w:rtl/>
        </w:rPr>
        <w:t xml:space="preserve"> 3194/10 </w:t>
      </w:r>
      <w:proofErr w:type="spellStart"/>
      <w:r w:rsidRPr="001C60CC">
        <w:rPr>
          <w:rFonts w:ascii="Century" w:hAnsi="Century" w:cs="Miriam" w:hint="eastAsia"/>
          <w:b/>
          <w:spacing w:val="0"/>
          <w:sz w:val="22"/>
          <w:szCs w:val="24"/>
          <w:rtl/>
        </w:rPr>
        <w:t>צוריאנו</w:t>
      </w:r>
      <w:proofErr w:type="spellEnd"/>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נ</w:t>
      </w:r>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שר</w:t>
      </w:r>
      <w:r w:rsidRPr="001C60CC">
        <w:rPr>
          <w:rFonts w:ascii="Century" w:hAnsi="Century" w:cs="Miriam"/>
          <w:b/>
          <w:spacing w:val="0"/>
          <w:sz w:val="22"/>
          <w:szCs w:val="24"/>
          <w:rtl/>
        </w:rPr>
        <w:t xml:space="preserve"> </w:t>
      </w:r>
      <w:r w:rsidRPr="001C60CC">
        <w:rPr>
          <w:rFonts w:ascii="Century" w:hAnsi="Century" w:cs="Miriam" w:hint="eastAsia"/>
          <w:b/>
          <w:spacing w:val="0"/>
          <w:sz w:val="22"/>
          <w:szCs w:val="24"/>
          <w:rtl/>
        </w:rPr>
        <w:t>הביטחון</w:t>
      </w:r>
      <w:r>
        <w:rPr>
          <w:rFonts w:hint="cs"/>
          <w:rtl/>
        </w:rPr>
        <w:t xml:space="preserve">, פסקה 3 לפסק דינו של השופט </w:t>
      </w:r>
      <w:r w:rsidRPr="001C60CC">
        <w:rPr>
          <w:rFonts w:ascii="Century" w:hAnsi="Century" w:cs="Miriam" w:hint="cs"/>
          <w:b/>
          <w:spacing w:val="0"/>
          <w:sz w:val="22"/>
          <w:szCs w:val="24"/>
          <w:rtl/>
        </w:rPr>
        <w:t xml:space="preserve">ע' </w:t>
      </w:r>
      <w:proofErr w:type="spellStart"/>
      <w:r w:rsidRPr="001C60CC">
        <w:rPr>
          <w:rFonts w:ascii="Century" w:hAnsi="Century" w:cs="Miriam" w:hint="cs"/>
          <w:b/>
          <w:spacing w:val="0"/>
          <w:sz w:val="22"/>
          <w:szCs w:val="24"/>
          <w:rtl/>
        </w:rPr>
        <w:t>פוגלמן</w:t>
      </w:r>
      <w:proofErr w:type="spellEnd"/>
      <w:r w:rsidRPr="001C60CC">
        <w:rPr>
          <w:rFonts w:hint="cs"/>
          <w:rtl/>
        </w:rPr>
        <w:t xml:space="preserve"> </w:t>
      </w:r>
      <w:r>
        <w:rPr>
          <w:rFonts w:hint="cs"/>
          <w:rtl/>
        </w:rPr>
        <w:t>(23.3.2011)). עם זאת בענייננו, בהינתן חומרת הפגיעה הישירה בזכויותיו של מי שנקבע שאינו ממלא את תפקידו כראוי, נראה כי אין חולק שמדובר בסוג המצבים שבהם נדרשת עמידה קפדנית על חובת השימוע, באופן שיתאפשר לו להציג את עמדתו.</w:t>
      </w:r>
    </w:p>
    <w:p w:rsidR="00282F22" w:rsidRDefault="00282F22" w:rsidP="00282F22">
      <w:pPr>
        <w:pStyle w:val="Ruller41"/>
        <w:rPr>
          <w:rtl/>
        </w:rPr>
      </w:pPr>
    </w:p>
    <w:p w:rsidR="00282F22" w:rsidRPr="00D229E6" w:rsidRDefault="00282F22" w:rsidP="00282F22">
      <w:pPr>
        <w:pStyle w:val="Ruller41"/>
        <w:rPr>
          <w:rFonts w:ascii="Century" w:hAnsi="Century" w:cs="Miriam"/>
          <w:b/>
          <w:spacing w:val="0"/>
          <w:szCs w:val="24"/>
          <w:rtl/>
        </w:rPr>
      </w:pPr>
      <w:r w:rsidRPr="00D229E6">
        <w:rPr>
          <w:rFonts w:ascii="Century" w:hAnsi="Century" w:cs="Miriam" w:hint="cs"/>
          <w:b/>
          <w:spacing w:val="0"/>
          <w:szCs w:val="24"/>
          <w:rtl/>
        </w:rPr>
        <w:t>מהכא להתם</w:t>
      </w:r>
    </w:p>
    <w:p w:rsidR="00282F22" w:rsidRPr="008C5FC4" w:rsidRDefault="00282F22" w:rsidP="00282F22">
      <w:pPr>
        <w:pStyle w:val="Ruller4"/>
        <w:rPr>
          <w:rtl/>
        </w:rPr>
      </w:pPr>
      <w:r w:rsidRPr="008C5FC4">
        <w:rPr>
          <w:rFonts w:hint="cs"/>
          <w:rtl/>
        </w:rPr>
        <w:lastRenderedPageBreak/>
        <w:t xml:space="preserve">אקדים ואומר כי במקרה זה נפלו </w:t>
      </w:r>
      <w:r>
        <w:rPr>
          <w:rFonts w:hint="cs"/>
          <w:rtl/>
        </w:rPr>
        <w:t xml:space="preserve">לעניות דעתי </w:t>
      </w:r>
      <w:r w:rsidRPr="008C5FC4">
        <w:rPr>
          <w:rFonts w:hint="cs"/>
          <w:rtl/>
        </w:rPr>
        <w:t xml:space="preserve">מספר פגמים מצטברים היורדים לשורש העניין, המחייבים </w:t>
      </w:r>
      <w:r>
        <w:rPr>
          <w:rFonts w:hint="cs"/>
          <w:rtl/>
        </w:rPr>
        <w:t xml:space="preserve">את </w:t>
      </w:r>
      <w:r w:rsidRPr="008C5FC4">
        <w:rPr>
          <w:rFonts w:hint="cs"/>
          <w:rtl/>
        </w:rPr>
        <w:t xml:space="preserve">קבלת העתירה. </w:t>
      </w:r>
      <w:r>
        <w:rPr>
          <w:rFonts w:hint="cs"/>
          <w:rtl/>
        </w:rPr>
        <w:t xml:space="preserve">אתמקד להלן בהליך קבלת ההחלטה </w:t>
      </w:r>
      <w:r>
        <w:rPr>
          <w:rtl/>
        </w:rPr>
        <w:t>–</w:t>
      </w:r>
      <w:r>
        <w:rPr>
          <w:rFonts w:hint="cs"/>
          <w:rtl/>
        </w:rPr>
        <w:t xml:space="preserve"> החל מהשיחה שהתקיימה בין השר לעותר בחודש מרץ 2023 וכלה בהליך ההיוועצות והשימוע שנטען כי התקיימו לאחריה.</w:t>
      </w:r>
    </w:p>
    <w:p w:rsidR="00282F22" w:rsidRDefault="00282F22" w:rsidP="00282F22">
      <w:pPr>
        <w:pStyle w:val="Ruller41"/>
        <w:rPr>
          <w:rtl/>
        </w:rPr>
      </w:pPr>
    </w:p>
    <w:p w:rsidR="00282F22" w:rsidRDefault="00282F22" w:rsidP="00282F22">
      <w:pPr>
        <w:pStyle w:val="Ruller4"/>
        <w:rPr>
          <w:rtl/>
        </w:rPr>
      </w:pPr>
      <w:r>
        <w:rPr>
          <w:rFonts w:hint="cs"/>
          <w:rtl/>
        </w:rPr>
        <w:t xml:space="preserve">כאמור, ביום 14.3.2023 התקיימה שיחה בין השר לעותר שבה הודיע השר לעותר כי הוא סבור שעליו לסיים את תפקידו כיו"ר הדירקטוריון. זאת, כפי שמסר השר, על מנת שהחברה תוכל להשלים את תכנית ההבראה, לשפר את רמת איכות השירות הניתן לציבור ולקדם את הליכי ההפרטה; כי ממידע שנחשף לשר עולה כי העותר אינו ממלא את תפקידו כראוי; וכי לשר אין אמון ביכולותיו ובמדיניות שנקט הדירקטוריון בראשותו. </w:t>
      </w:r>
    </w:p>
    <w:p w:rsidR="00282F22" w:rsidRDefault="00282F22" w:rsidP="00282F22">
      <w:pPr>
        <w:pStyle w:val="Ruller41"/>
        <w:rPr>
          <w:rtl/>
        </w:rPr>
      </w:pPr>
    </w:p>
    <w:p w:rsidR="00282F22" w:rsidRDefault="00282F22" w:rsidP="00282F22">
      <w:pPr>
        <w:pStyle w:val="Ruller41"/>
        <w:rPr>
          <w:rtl/>
        </w:rPr>
      </w:pPr>
      <w:r>
        <w:rPr>
          <w:rtl/>
        </w:rPr>
        <w:tab/>
      </w:r>
      <w:r>
        <w:rPr>
          <w:rFonts w:hint="cs"/>
          <w:rtl/>
        </w:rPr>
        <w:t xml:space="preserve">תיאור זה של השיחה שהתקיימה בין השניים, על אף שזו אינה מתועדת או מוקלטת, אינו יכול להיות שנוי במחלוקת. זאת שכן מדובר כאמור בתיאור מפי </w:t>
      </w:r>
      <w:r w:rsidRPr="000C2FC7">
        <w:rPr>
          <w:rFonts w:ascii="Century" w:hAnsi="Century" w:cs="Miriam" w:hint="cs"/>
          <w:b/>
          <w:spacing w:val="0"/>
          <w:szCs w:val="24"/>
          <w:rtl/>
        </w:rPr>
        <w:t>שר התקשורת עצמו</w:t>
      </w:r>
      <w:r w:rsidRPr="000C2FC7">
        <w:rPr>
          <w:rFonts w:hint="cs"/>
          <w:rtl/>
        </w:rPr>
        <w:t xml:space="preserve"> </w:t>
      </w:r>
      <w:r>
        <w:rPr>
          <w:rFonts w:hint="cs"/>
          <w:rtl/>
        </w:rPr>
        <w:t xml:space="preserve">בטיוטת מכתב השימוע, שצורפה למכתב ההיוועצות שנשלח לרשות. טיוטת מכתב זו, הממוענת לעותר, הייתה חתומה על ידי השר לבדו, ובכותרתה נכתב כאמור "שימוע </w:t>
      </w:r>
      <w:r>
        <w:rPr>
          <w:rtl/>
        </w:rPr>
        <w:t>–</w:t>
      </w:r>
      <w:r>
        <w:rPr>
          <w:rFonts w:hint="cs"/>
          <w:rtl/>
        </w:rPr>
        <w:t xml:space="preserve"> העברתך מכהונה כיושב ראש דירקטוריון חברת דואר ישראל בע"מ". בטיוטת המכתב נכתב כך:</w:t>
      </w:r>
    </w:p>
    <w:p w:rsidR="00282F22" w:rsidRDefault="00282F22" w:rsidP="00282F22">
      <w:pPr>
        <w:pStyle w:val="Ruller41"/>
        <w:rPr>
          <w:rtl/>
        </w:rPr>
      </w:pPr>
    </w:p>
    <w:p w:rsidR="00282F22" w:rsidRDefault="00282F22" w:rsidP="00282F22">
      <w:pPr>
        <w:pStyle w:val="Ruller5"/>
        <w:rPr>
          <w:rtl/>
        </w:rPr>
      </w:pPr>
      <w:r>
        <w:rPr>
          <w:rFonts w:hint="cs"/>
          <w:rtl/>
        </w:rPr>
        <w:t>"1. בשיחתנו האחרונה בתאריך כ"ד באדר תשפ"ג, 14 במרץ 2023, הודעתי לך כי אני סבור שעליך לסיים את תפקידך כיו"ר דירקטוריון חברת דואר ישראל בע"מ [...] על מנת שהחברה תוכל להשלים בהצלחה את תכנית ההבראה, לשפר את רמת איכות השירות לציבור ולצעוד במהירות ובבטחה להפרטה המתוכננת.</w:t>
      </w:r>
    </w:p>
    <w:p w:rsidR="00282F22" w:rsidRDefault="00282F22" w:rsidP="00282F22">
      <w:pPr>
        <w:pStyle w:val="Ruller5"/>
        <w:rPr>
          <w:rtl/>
        </w:rPr>
      </w:pPr>
      <w:r>
        <w:rPr>
          <w:rFonts w:hint="cs"/>
          <w:rtl/>
        </w:rPr>
        <w:t>ציינתי בפניך, כי לאור המידע שנחשפתי אליו ולאור התנהלותך מול משרד התקשורת [...] בראשותי, ובניהולה של מנכ"לית המשרד היוצאת בחודשים האחרונים, עולה כי אינך ממלא את תפקידך כראוי.</w:t>
      </w:r>
    </w:p>
    <w:p w:rsidR="00282F22" w:rsidRDefault="00282F22" w:rsidP="00282F22">
      <w:pPr>
        <w:pStyle w:val="Ruller5"/>
        <w:rPr>
          <w:rtl/>
        </w:rPr>
      </w:pPr>
      <w:r>
        <w:rPr>
          <w:rFonts w:hint="cs"/>
          <w:rtl/>
        </w:rPr>
        <w:t>כמו כן, ציינתי בפניך כי אין לי אמון ביכולותיך, ובמדיניות שנקט דירקטוריון החברה בראשותך, להביא לסיום מוצלח של תכנית ההבראה, לשפר את השירות לציבור ולהוביל את החברה להפרטה מוצלחת ומהירה".</w:t>
      </w:r>
    </w:p>
    <w:p w:rsidR="00282F22" w:rsidRDefault="00282F22" w:rsidP="00282F22">
      <w:pPr>
        <w:pStyle w:val="Ruller4"/>
        <w:numPr>
          <w:ilvl w:val="0"/>
          <w:numId w:val="0"/>
        </w:numPr>
        <w:rPr>
          <w:rtl/>
        </w:rPr>
      </w:pPr>
    </w:p>
    <w:p w:rsidR="00282F22" w:rsidRDefault="00282F22" w:rsidP="00282F22">
      <w:pPr>
        <w:pStyle w:val="Ruller4"/>
        <w:numPr>
          <w:ilvl w:val="0"/>
          <w:numId w:val="0"/>
        </w:numPr>
        <w:rPr>
          <w:rtl/>
        </w:rPr>
      </w:pPr>
      <w:r>
        <w:rPr>
          <w:rtl/>
        </w:rPr>
        <w:tab/>
      </w:r>
      <w:r>
        <w:rPr>
          <w:rFonts w:hint="cs"/>
          <w:rtl/>
        </w:rPr>
        <w:t xml:space="preserve">גם במכתב השימוע (מיום 18.6.2023) תוארו הדברים באופן דומה כאשר גם בפתח מכתב זה, ציין השר כי באותה שיחה הודיע לעותר כי הוא סבור שעליו לסיים את תפקידו; וכי לאור המידע שנחשף אליו עולה כי רמת השירות של החברה לציבור ירודה וכי קיים חשש ממשי שהמשך התנהלות החברה בראשות העותר יפגע בסופו של דבר </w:t>
      </w:r>
      <w:r>
        <w:rPr>
          <w:rFonts w:hint="cs"/>
          <w:rtl/>
        </w:rPr>
        <w:lastRenderedPageBreak/>
        <w:t>בסיכויי הצלחת ההפרטה והבראה החברה. כמו כן את מכתב השימוע סיים השר במילים אלה:</w:t>
      </w:r>
    </w:p>
    <w:p w:rsidR="00282F22" w:rsidRPr="006A6C5D" w:rsidRDefault="00282F22" w:rsidP="00282F22">
      <w:pPr>
        <w:pStyle w:val="Ruller41"/>
        <w:rPr>
          <w:rtl/>
        </w:rPr>
      </w:pPr>
    </w:p>
    <w:p w:rsidR="00282F22" w:rsidRDefault="00282F22" w:rsidP="00282F22">
      <w:pPr>
        <w:pStyle w:val="Ruller5"/>
        <w:rPr>
          <w:rtl/>
        </w:rPr>
      </w:pPr>
      <w:r>
        <w:rPr>
          <w:rFonts w:hint="cs"/>
          <w:rtl/>
        </w:rPr>
        <w:t xml:space="preserve">"לאור כל זאת, </w:t>
      </w:r>
      <w:r w:rsidRPr="000E0E88">
        <w:rPr>
          <w:rFonts w:ascii="Century" w:hAnsi="Century" w:cs="Miriam" w:hint="cs"/>
          <w:b/>
          <w:spacing w:val="0"/>
          <w:szCs w:val="24"/>
          <w:rtl/>
        </w:rPr>
        <w:t>וכפי שציינתי בפניך בפגישתנו ביום 14.</w:t>
      </w:r>
      <w:r>
        <w:rPr>
          <w:rFonts w:ascii="Century" w:hAnsi="Century" w:cs="Miriam" w:hint="cs"/>
          <w:b/>
          <w:spacing w:val="0"/>
          <w:szCs w:val="24"/>
          <w:rtl/>
        </w:rPr>
        <w:t>0</w:t>
      </w:r>
      <w:r w:rsidRPr="000E0E88">
        <w:rPr>
          <w:rFonts w:ascii="Century" w:hAnsi="Century" w:cs="Miriam" w:hint="cs"/>
          <w:b/>
          <w:spacing w:val="0"/>
          <w:szCs w:val="24"/>
          <w:rtl/>
        </w:rPr>
        <w:t>3.2023</w:t>
      </w:r>
      <w:r>
        <w:rPr>
          <w:rFonts w:hint="cs"/>
          <w:rtl/>
        </w:rPr>
        <w:t>, אין לי אמון ביכולותיך ובמדיניות שנוקט דירקטוריון החברה בראשותך להביא לשיפור השירות לציבור ולפתח מנועי צמיחה בליבת פעילות החברה ובתחומים משיקים, תוך ניצול יתרונותיה של החברה ונכסיה (המוחשיים והבלתי מוחשיים). אני סבור כי אין לדירקטוריון החברה בראשותך את היכולת להביא לסיום מוצלח של תכנית ההבראה ולהפרטת החברה באופן מהיר ומוצלח תוך מתן שירות ראוי לציבור בכלל ולאוכלוסיות החלשות בפרט" (פסקה 6; ההדגשה אינה במקור).</w:t>
      </w:r>
    </w:p>
    <w:p w:rsidR="00282F22" w:rsidRDefault="00282F22" w:rsidP="00282F22">
      <w:pPr>
        <w:pStyle w:val="Ruller4"/>
        <w:numPr>
          <w:ilvl w:val="0"/>
          <w:numId w:val="0"/>
        </w:numPr>
        <w:rPr>
          <w:rtl/>
        </w:rPr>
      </w:pPr>
    </w:p>
    <w:p w:rsidR="00282F22" w:rsidRDefault="00282F22" w:rsidP="00282F22">
      <w:pPr>
        <w:pStyle w:val="Ruller4"/>
        <w:numPr>
          <w:ilvl w:val="0"/>
          <w:numId w:val="0"/>
        </w:numPr>
        <w:rPr>
          <w:rtl/>
        </w:rPr>
      </w:pPr>
      <w:r>
        <w:rPr>
          <w:rtl/>
        </w:rPr>
        <w:tab/>
      </w:r>
      <w:r>
        <w:rPr>
          <w:rFonts w:hint="cs"/>
          <w:rtl/>
        </w:rPr>
        <w:t xml:space="preserve">אם כן, שר התקשורת </w:t>
      </w:r>
      <w:r w:rsidRPr="008C5FC4">
        <w:rPr>
          <w:rFonts w:ascii="Century" w:hAnsi="Century" w:cs="Miriam" w:hint="cs"/>
          <w:b/>
          <w:spacing w:val="0"/>
          <w:sz w:val="22"/>
          <w:szCs w:val="24"/>
          <w:rtl/>
        </w:rPr>
        <w:t>עצמו</w:t>
      </w:r>
      <w:r w:rsidRPr="008C5FC4">
        <w:rPr>
          <w:rFonts w:hint="cs"/>
          <w:rtl/>
        </w:rPr>
        <w:t xml:space="preserve"> </w:t>
      </w:r>
      <w:r>
        <w:rPr>
          <w:rFonts w:hint="cs"/>
          <w:rtl/>
        </w:rPr>
        <w:t xml:space="preserve">כתב במכתבו כי הודיע לעותר כבר </w:t>
      </w:r>
      <w:r w:rsidRPr="00CC4F03">
        <w:rPr>
          <w:rFonts w:ascii="Century" w:hAnsi="Century" w:cs="Miriam" w:hint="cs"/>
          <w:b/>
          <w:spacing w:val="0"/>
          <w:sz w:val="22"/>
          <w:szCs w:val="24"/>
          <w:rtl/>
        </w:rPr>
        <w:t>בחודש מרץ</w:t>
      </w:r>
      <w:r w:rsidRPr="00CC4F03">
        <w:rPr>
          <w:rFonts w:hint="cs"/>
          <w:rtl/>
        </w:rPr>
        <w:t xml:space="preserve"> </w:t>
      </w:r>
      <w:r>
        <w:rPr>
          <w:rFonts w:hint="cs"/>
          <w:rtl/>
        </w:rPr>
        <w:t xml:space="preserve">2023 כי הוא סבור שעליו לסיים את תפקידו; ושר התקשורת </w:t>
      </w:r>
      <w:r w:rsidRPr="006A6C5D">
        <w:rPr>
          <w:rFonts w:ascii="Century" w:hAnsi="Century" w:cs="Miriam" w:hint="cs"/>
          <w:b/>
          <w:spacing w:val="0"/>
          <w:szCs w:val="24"/>
          <w:rtl/>
        </w:rPr>
        <w:t>עצמו</w:t>
      </w:r>
      <w:r w:rsidRPr="006A6C5D">
        <w:rPr>
          <w:rFonts w:hint="cs"/>
          <w:rtl/>
        </w:rPr>
        <w:t xml:space="preserve"> </w:t>
      </w:r>
      <w:r>
        <w:rPr>
          <w:rFonts w:hint="cs"/>
          <w:rtl/>
        </w:rPr>
        <w:t xml:space="preserve">במכתביו הציג את הדברים כך שלפני העותר נפרשה באותה </w:t>
      </w:r>
      <w:r w:rsidRPr="00D361E2">
        <w:rPr>
          <w:rFonts w:ascii="Century" w:hAnsi="Century" w:hint="cs"/>
          <w:sz w:val="22"/>
          <w:rtl/>
        </w:rPr>
        <w:t>שיחה מחודש</w:t>
      </w:r>
      <w:r w:rsidRPr="00D361E2">
        <w:rPr>
          <w:rFonts w:hint="cs"/>
          <w:rtl/>
        </w:rPr>
        <w:t xml:space="preserve"> </w:t>
      </w:r>
      <w:r>
        <w:rPr>
          <w:rFonts w:hint="cs"/>
          <w:rtl/>
        </w:rPr>
        <w:t xml:space="preserve">מרץ 2023 התשתית העומדת בבסיס העמדה כי על העותר לסיים את תפקידו. </w:t>
      </w:r>
    </w:p>
    <w:p w:rsidR="00282F22" w:rsidRDefault="00282F22" w:rsidP="00282F22">
      <w:pPr>
        <w:pStyle w:val="Ruller4"/>
        <w:numPr>
          <w:ilvl w:val="0"/>
          <w:numId w:val="0"/>
        </w:numPr>
        <w:rPr>
          <w:rtl/>
        </w:rPr>
      </w:pPr>
    </w:p>
    <w:p w:rsidR="00282F22" w:rsidRDefault="00282F22" w:rsidP="00282F22">
      <w:pPr>
        <w:pStyle w:val="Ruller4"/>
        <w:rPr>
          <w:rtl/>
        </w:rPr>
      </w:pPr>
      <w:r>
        <w:rPr>
          <w:rFonts w:hint="cs"/>
          <w:rtl/>
        </w:rPr>
        <w:t xml:space="preserve">מכאן אפוא כי טענות השרים שההחלטה על העברת העותר מתפקידו התקבלה רק "חודשים לאחר מכן" (למשל, בפסקה 49 לתגובה המקדמית מטעמם) או כפי שנטען בדיון לפנינו כי מדובר היה "בשיחת מסדרון" מקדימה בלבד, אינן עולות בקנה אחד עם התמונה המצטיירת מהמכתבים עצמם. כמפורט לעיל, אותה שיחה מחודש מרץ 2023 לא תוארה בטיוטת מכתב השימוע שצורפה למכתב ההיוועצות ובמכתב השימוע עצמו </w:t>
      </w:r>
      <w:r>
        <w:rPr>
          <w:rtl/>
        </w:rPr>
        <w:t>–</w:t>
      </w:r>
      <w:r>
        <w:rPr>
          <w:rFonts w:hint="cs"/>
          <w:rtl/>
        </w:rPr>
        <w:t xml:space="preserve"> מכתבים שנכתבו "בזמן אמת" ממש </w:t>
      </w:r>
      <w:r>
        <w:rPr>
          <w:rtl/>
        </w:rPr>
        <w:t>–</w:t>
      </w:r>
      <w:r>
        <w:rPr>
          <w:rFonts w:hint="cs"/>
          <w:rtl/>
        </w:rPr>
        <w:t xml:space="preserve"> כ"שיחת מסדרון" מקדימה או כשיחת פתיחה חסרת משמעות. אדרבה, השר מצא לנכון לפתוח את מכתביו בתיאור אותה שיחה, בפירוט הנאמר בה לעותר ובציון הנימוקים לכך שסבר כבר באותה עת כי על העותר לסיים את תפקידו. השר בחר אף לסיים את מכתב השימוע באזכור חוזר של השיחה מחודש מרץ 2023 ובהדגשה כי הנימוקים העומדים בבסיס החלטתו צוינו כבר אז, בשיחה זו.</w:t>
      </w:r>
      <w:r>
        <w:rPr>
          <w:rtl/>
        </w:rPr>
        <w:tab/>
      </w:r>
    </w:p>
    <w:p w:rsidR="00282F22" w:rsidRDefault="00282F22" w:rsidP="00282F22">
      <w:pPr>
        <w:pStyle w:val="Ruller41"/>
        <w:rPr>
          <w:rtl/>
        </w:rPr>
      </w:pPr>
    </w:p>
    <w:p w:rsidR="00282F22" w:rsidRDefault="00282F22" w:rsidP="00282F22">
      <w:pPr>
        <w:pStyle w:val="Ruller41"/>
        <w:rPr>
          <w:rtl/>
        </w:rPr>
      </w:pPr>
      <w:r>
        <w:rPr>
          <w:rtl/>
        </w:rPr>
        <w:tab/>
      </w:r>
      <w:r>
        <w:rPr>
          <w:rFonts w:hint="cs"/>
          <w:rtl/>
        </w:rPr>
        <w:t xml:space="preserve">על כך יש להוסיף כי בראיון לרשת גלי צה"ל מיום 5.6.2023 ציין השר: "אני החלטתי להדיח אותו רק שלושה חודשים אחרי שנכנסתי לתפקיד" (תמלול הריאיון לרשת גלי צה"ל מיום 5.6.2023, נספח 17 לעתירה, עמ' 9),  כאשר שר התקשורת נכנס לתפקידו בחודש דצמבר 2022. היינו השר עצמו הבהיר בראיון לתקשורת כי ההחלטה התקבלה כבר </w:t>
      </w:r>
      <w:r w:rsidRPr="004C6151">
        <w:rPr>
          <w:rFonts w:ascii="Century" w:hAnsi="Century" w:hint="eastAsia"/>
          <w:rtl/>
        </w:rPr>
        <w:t>בחודש</w:t>
      </w:r>
      <w:r w:rsidRPr="004C6151">
        <w:rPr>
          <w:rFonts w:ascii="Century" w:hAnsi="Century"/>
          <w:rtl/>
        </w:rPr>
        <w:t xml:space="preserve"> </w:t>
      </w:r>
      <w:r w:rsidRPr="004C6151">
        <w:rPr>
          <w:rFonts w:ascii="Century" w:hAnsi="Century" w:hint="eastAsia"/>
          <w:rtl/>
        </w:rPr>
        <w:t>מרץ</w:t>
      </w:r>
      <w:r w:rsidRPr="004C6151">
        <w:rPr>
          <w:rFonts w:ascii="Century" w:hAnsi="Century"/>
          <w:rtl/>
        </w:rPr>
        <w:t xml:space="preserve"> 2023.</w:t>
      </w:r>
    </w:p>
    <w:p w:rsidR="00282F22" w:rsidRDefault="00282F22" w:rsidP="00282F22">
      <w:pPr>
        <w:pStyle w:val="Ruller41"/>
      </w:pPr>
    </w:p>
    <w:p w:rsidR="00282F22" w:rsidRPr="003F4B42" w:rsidRDefault="00282F22" w:rsidP="00282F22">
      <w:pPr>
        <w:pStyle w:val="Ruller4"/>
      </w:pPr>
      <w:r>
        <w:rPr>
          <w:rFonts w:hint="cs"/>
          <w:rtl/>
        </w:rPr>
        <w:lastRenderedPageBreak/>
        <w:t>לא בכדי ביקשו השרים במהלך הדיון "להתנער" מאותה שיחה ולהפחית מחשיבותה. שכן, לא רק שלא קדם הליך היוועצות כדין לאותה שיחה, אלא שהשרים גם התקשו לבאר על בסיס איזו תשתית עובדתית נסמכה הערכת השר בדבר האופן בו מילא העותר את תפקידיו עוד קודם לחודש מרץ 2023. השרים הפנו בהקשר זה לפגישות עבודה שנעשו עם הצוות המקצועי של החברה במהלך חודש ינואר 2023, למצגות שהוצגו לשר לפני חודש מרץ 2023 וכן טענו כי התקבלו "תלונות רבות" ללשכת שר התקשורת מטעם ראשי רשויות. אולם, מדובר בתשתית עובדתית רעועה ביותר: שלוש פגישות עבודה כלליות; מצגות הכוללות סקירה כללית של שוק הדואר, שוק הסחר ושינויי רגולציה (נספח מש/11 לתגובה מטעם המשיבות); ו</w:t>
      </w:r>
      <w:r w:rsidRPr="003F4B42">
        <w:rPr>
          <w:rFonts w:hint="cs"/>
          <w:rtl/>
        </w:rPr>
        <w:t>"תלונות רבות" מצד ראשי רשויות, מרביתן מתייחסות לסוגיית סגירת יחידות הדואר, אשר לעמדת הרשות נעש</w:t>
      </w:r>
      <w:r>
        <w:rPr>
          <w:rFonts w:hint="cs"/>
          <w:rtl/>
        </w:rPr>
        <w:t>ת</w:t>
      </w:r>
      <w:r w:rsidRPr="003F4B42">
        <w:rPr>
          <w:rFonts w:hint="cs"/>
          <w:rtl/>
        </w:rPr>
        <w:t xml:space="preserve">ה בהתאם לתנאי הרישיון שניתן לדואר, כאשר ממילא החלטות על סגירת סניפי דואר אינן מסוג ההחלטות המתקבלות על ידי יו"ר הדירקטוריון. </w:t>
      </w:r>
    </w:p>
    <w:p w:rsidR="00282F22" w:rsidRPr="001F775A" w:rsidRDefault="00282F22" w:rsidP="00282F22">
      <w:pPr>
        <w:pStyle w:val="Ruller4"/>
        <w:numPr>
          <w:ilvl w:val="0"/>
          <w:numId w:val="0"/>
        </w:numPr>
        <w:rPr>
          <w:rFonts w:ascii="Century" w:hAnsi="Century"/>
        </w:rPr>
      </w:pPr>
    </w:p>
    <w:p w:rsidR="00282F22" w:rsidRDefault="00282F22" w:rsidP="00282F22">
      <w:pPr>
        <w:pStyle w:val="Ruller4"/>
      </w:pPr>
      <w:r w:rsidRPr="004C6151">
        <w:rPr>
          <w:rFonts w:hint="eastAsia"/>
          <w:rtl/>
        </w:rPr>
        <w:t>בהקשר</w:t>
      </w:r>
      <w:r w:rsidRPr="004C6151">
        <w:rPr>
          <w:rtl/>
        </w:rPr>
        <w:t xml:space="preserve"> </w:t>
      </w:r>
      <w:r w:rsidRPr="004C6151">
        <w:rPr>
          <w:rFonts w:hint="eastAsia"/>
          <w:rtl/>
        </w:rPr>
        <w:t>זה</w:t>
      </w:r>
      <w:r>
        <w:rPr>
          <w:rFonts w:hint="cs"/>
          <w:rtl/>
        </w:rPr>
        <w:t xml:space="preserve"> הועלתה טענה בדיון לפנינו כי מדובר בעניין של "מדיניות", שעמדה בבסיס ההחלטה הכללית על העברת העותר מתפקידו. </w:t>
      </w:r>
      <w:r w:rsidRPr="003F4B42">
        <w:rPr>
          <w:rFonts w:hint="cs"/>
          <w:rtl/>
        </w:rPr>
        <w:t>אולם לא הוצגו לפנינו קווי פעולה ברורים או התווית דרך מצד השר לקידומה של "מדיניות" בנושאים מקצועיים מסוימים שהופרה על ידי העותר.</w:t>
      </w:r>
      <w:r w:rsidRPr="004C6151">
        <w:rPr>
          <w:rFonts w:hint="eastAsia"/>
          <w:rtl/>
        </w:rPr>
        <w:t xml:space="preserve"> בדיון</w:t>
      </w:r>
      <w:r w:rsidRPr="004C6151">
        <w:rPr>
          <w:rtl/>
        </w:rPr>
        <w:t xml:space="preserve"> </w:t>
      </w:r>
      <w:r>
        <w:rPr>
          <w:rFonts w:hint="cs"/>
          <w:rtl/>
        </w:rPr>
        <w:t xml:space="preserve">לפנינו </w:t>
      </w:r>
      <w:r w:rsidRPr="004C6151">
        <w:rPr>
          <w:rFonts w:hint="eastAsia"/>
          <w:rtl/>
        </w:rPr>
        <w:t>גם</w:t>
      </w:r>
      <w:r w:rsidRPr="004C6151">
        <w:rPr>
          <w:rtl/>
        </w:rPr>
        <w:t xml:space="preserve"> </w:t>
      </w:r>
      <w:r w:rsidRPr="004C6151">
        <w:rPr>
          <w:rFonts w:hint="eastAsia"/>
          <w:rtl/>
        </w:rPr>
        <w:t>כלל</w:t>
      </w:r>
      <w:r w:rsidRPr="004C6151">
        <w:rPr>
          <w:rtl/>
        </w:rPr>
        <w:t xml:space="preserve"> </w:t>
      </w:r>
      <w:r w:rsidRPr="004C6151">
        <w:rPr>
          <w:rFonts w:hint="eastAsia"/>
          <w:rtl/>
        </w:rPr>
        <w:t>לא</w:t>
      </w:r>
      <w:r w:rsidRPr="004C6151">
        <w:rPr>
          <w:rtl/>
        </w:rPr>
        <w:t xml:space="preserve"> </w:t>
      </w:r>
      <w:r w:rsidRPr="004C6151">
        <w:rPr>
          <w:rFonts w:hint="eastAsia"/>
          <w:rtl/>
        </w:rPr>
        <w:t>הוסבר</w:t>
      </w:r>
      <w:r w:rsidRPr="004C6151">
        <w:rPr>
          <w:rtl/>
        </w:rPr>
        <w:t xml:space="preserve"> </w:t>
      </w:r>
      <w:r w:rsidRPr="004C6151">
        <w:rPr>
          <w:rFonts w:hint="eastAsia"/>
          <w:rtl/>
        </w:rPr>
        <w:t>מהי</w:t>
      </w:r>
      <w:r w:rsidRPr="004C6151">
        <w:rPr>
          <w:rtl/>
        </w:rPr>
        <w:t xml:space="preserve"> </w:t>
      </w:r>
      <w:r w:rsidRPr="004C6151">
        <w:rPr>
          <w:rFonts w:hint="eastAsia"/>
          <w:rtl/>
        </w:rPr>
        <w:t>אותה</w:t>
      </w:r>
      <w:r w:rsidRPr="004C6151">
        <w:rPr>
          <w:rtl/>
        </w:rPr>
        <w:t xml:space="preserve"> "</w:t>
      </w:r>
      <w:r w:rsidRPr="004C6151">
        <w:rPr>
          <w:rFonts w:hint="eastAsia"/>
          <w:rtl/>
        </w:rPr>
        <w:t>מדיניות</w:t>
      </w:r>
      <w:r w:rsidRPr="004C6151">
        <w:rPr>
          <w:rtl/>
        </w:rPr>
        <w:t xml:space="preserve">" </w:t>
      </w:r>
      <w:r w:rsidRPr="004C6151">
        <w:rPr>
          <w:rFonts w:hint="eastAsia"/>
          <w:rtl/>
        </w:rPr>
        <w:t>שקודמה</w:t>
      </w:r>
      <w:r w:rsidRPr="004C6151">
        <w:rPr>
          <w:rtl/>
        </w:rPr>
        <w:t xml:space="preserve"> </w:t>
      </w:r>
      <w:r w:rsidRPr="004C6151">
        <w:rPr>
          <w:rFonts w:hint="eastAsia"/>
          <w:rtl/>
        </w:rPr>
        <w:t>והופרה</w:t>
      </w:r>
      <w:r w:rsidRPr="004C6151">
        <w:rPr>
          <w:rtl/>
        </w:rPr>
        <w:t xml:space="preserve"> </w:t>
      </w:r>
      <w:r w:rsidRPr="004C6151">
        <w:rPr>
          <w:rFonts w:hint="eastAsia"/>
          <w:rtl/>
        </w:rPr>
        <w:t>מלבד</w:t>
      </w:r>
      <w:r w:rsidRPr="004C6151">
        <w:rPr>
          <w:rtl/>
        </w:rPr>
        <w:t xml:space="preserve"> </w:t>
      </w:r>
      <w:r w:rsidRPr="004C6151">
        <w:rPr>
          <w:rFonts w:hint="eastAsia"/>
          <w:rtl/>
        </w:rPr>
        <w:t>טענה</w:t>
      </w:r>
      <w:r w:rsidRPr="004C6151">
        <w:rPr>
          <w:rtl/>
        </w:rPr>
        <w:t xml:space="preserve"> </w:t>
      </w:r>
      <w:r w:rsidRPr="004C6151">
        <w:rPr>
          <w:rFonts w:hint="eastAsia"/>
          <w:rtl/>
        </w:rPr>
        <w:t>כללית</w:t>
      </w:r>
      <w:r w:rsidRPr="004C6151">
        <w:rPr>
          <w:rtl/>
        </w:rPr>
        <w:t xml:space="preserve"> </w:t>
      </w:r>
      <w:r w:rsidRPr="004C6151">
        <w:rPr>
          <w:rFonts w:hint="eastAsia"/>
          <w:rtl/>
        </w:rPr>
        <w:t>בדבר</w:t>
      </w:r>
      <w:r w:rsidRPr="004C6151">
        <w:rPr>
          <w:rtl/>
        </w:rPr>
        <w:t xml:space="preserve"> "</w:t>
      </w:r>
      <w:r w:rsidRPr="004C6151">
        <w:rPr>
          <w:rFonts w:hint="eastAsia"/>
          <w:rtl/>
        </w:rPr>
        <w:t>מדיניות</w:t>
      </w:r>
      <w:r w:rsidRPr="004C6151">
        <w:rPr>
          <w:rtl/>
        </w:rPr>
        <w:t xml:space="preserve"> </w:t>
      </w:r>
      <w:r w:rsidRPr="004C6151">
        <w:rPr>
          <w:rFonts w:hint="eastAsia"/>
          <w:rtl/>
        </w:rPr>
        <w:t>של</w:t>
      </w:r>
      <w:r w:rsidRPr="004C6151">
        <w:rPr>
          <w:rtl/>
        </w:rPr>
        <w:t xml:space="preserve"> </w:t>
      </w:r>
      <w:r w:rsidRPr="004C6151">
        <w:rPr>
          <w:rFonts w:hint="eastAsia"/>
          <w:rtl/>
        </w:rPr>
        <w:t>שירות</w:t>
      </w:r>
      <w:r w:rsidRPr="004C6151">
        <w:rPr>
          <w:rtl/>
        </w:rPr>
        <w:t xml:space="preserve"> </w:t>
      </w:r>
      <w:r w:rsidRPr="004C6151">
        <w:rPr>
          <w:rFonts w:hint="eastAsia"/>
          <w:rtl/>
        </w:rPr>
        <w:t>מספיק</w:t>
      </w:r>
      <w:r w:rsidRPr="004C6151">
        <w:rPr>
          <w:rtl/>
        </w:rPr>
        <w:t xml:space="preserve"> </w:t>
      </w:r>
      <w:r w:rsidRPr="004C6151">
        <w:rPr>
          <w:rFonts w:hint="eastAsia"/>
          <w:rtl/>
        </w:rPr>
        <w:t>טוב</w:t>
      </w:r>
      <w:r w:rsidRPr="004C6151">
        <w:rPr>
          <w:rtl/>
        </w:rPr>
        <w:t xml:space="preserve"> </w:t>
      </w:r>
      <w:r w:rsidRPr="004C6151">
        <w:rPr>
          <w:rFonts w:hint="eastAsia"/>
          <w:rtl/>
        </w:rPr>
        <w:t>ברשות</w:t>
      </w:r>
      <w:r w:rsidRPr="004C6151">
        <w:rPr>
          <w:rtl/>
        </w:rPr>
        <w:t xml:space="preserve"> </w:t>
      </w:r>
      <w:r w:rsidRPr="004C6151">
        <w:rPr>
          <w:rFonts w:hint="eastAsia"/>
          <w:rtl/>
        </w:rPr>
        <w:t>הדואר</w:t>
      </w:r>
      <w:r w:rsidRPr="004C6151">
        <w:rPr>
          <w:rtl/>
        </w:rPr>
        <w:t xml:space="preserve">", </w:t>
      </w:r>
      <w:r w:rsidRPr="004C6151">
        <w:rPr>
          <w:rFonts w:hint="eastAsia"/>
          <w:rtl/>
        </w:rPr>
        <w:t>ואין</w:t>
      </w:r>
      <w:r w:rsidRPr="004C6151">
        <w:rPr>
          <w:rtl/>
        </w:rPr>
        <w:t xml:space="preserve"> </w:t>
      </w:r>
      <w:r w:rsidRPr="004C6151">
        <w:rPr>
          <w:rFonts w:hint="eastAsia"/>
          <w:rtl/>
        </w:rPr>
        <w:t>צריך</w:t>
      </w:r>
      <w:r w:rsidRPr="004C6151">
        <w:rPr>
          <w:rtl/>
        </w:rPr>
        <w:t xml:space="preserve"> </w:t>
      </w:r>
      <w:r w:rsidRPr="004C6151">
        <w:rPr>
          <w:rFonts w:hint="eastAsia"/>
          <w:rtl/>
        </w:rPr>
        <w:t>לומר</w:t>
      </w:r>
      <w:r w:rsidRPr="004C6151">
        <w:rPr>
          <w:rtl/>
        </w:rPr>
        <w:t xml:space="preserve"> </w:t>
      </w:r>
      <w:r w:rsidRPr="004C6151">
        <w:rPr>
          <w:rFonts w:hint="eastAsia"/>
          <w:rtl/>
        </w:rPr>
        <w:t>כי</w:t>
      </w:r>
      <w:r w:rsidRPr="004C6151">
        <w:rPr>
          <w:rtl/>
        </w:rPr>
        <w:t xml:space="preserve"> </w:t>
      </w:r>
      <w:r>
        <w:rPr>
          <w:rFonts w:hint="cs"/>
          <w:rtl/>
        </w:rPr>
        <w:t>מתן שירות "מספיק טוב" לציבור, אינו עניין של "</w:t>
      </w:r>
      <w:r w:rsidRPr="004C6151">
        <w:rPr>
          <w:rFonts w:hint="eastAsia"/>
          <w:rtl/>
        </w:rPr>
        <w:t>מדיניות</w:t>
      </w:r>
      <w:r>
        <w:rPr>
          <w:rFonts w:hint="cs"/>
          <w:rtl/>
        </w:rPr>
        <w:t>"</w:t>
      </w:r>
      <w:r w:rsidRPr="004C6151">
        <w:rPr>
          <w:rtl/>
        </w:rPr>
        <w:t xml:space="preserve"> </w:t>
      </w:r>
      <w:r w:rsidRPr="004C6151">
        <w:rPr>
          <w:rFonts w:hint="eastAsia"/>
          <w:rtl/>
        </w:rPr>
        <w:t>כלל</w:t>
      </w:r>
      <w:r>
        <w:rPr>
          <w:rtl/>
        </w:rPr>
        <w:t>.</w:t>
      </w:r>
      <w:r w:rsidRPr="003F4B42">
        <w:rPr>
          <w:rFonts w:hint="cs"/>
          <w:rtl/>
        </w:rPr>
        <w:t xml:space="preserve"> </w:t>
      </w:r>
      <w:r>
        <w:rPr>
          <w:rFonts w:hint="cs"/>
          <w:rtl/>
        </w:rPr>
        <w:t xml:space="preserve">מעבר לכך, </w:t>
      </w:r>
      <w:r w:rsidRPr="003F4B42">
        <w:rPr>
          <w:rFonts w:hint="cs"/>
          <w:rtl/>
        </w:rPr>
        <w:t>בשים לב להוראות החוק, קשה למצוא בהפרת "מדיניות" כללית של השר, להבדיל מהתנהלות מקצועית הנוגעת לאופן קידום החברה, משום "אי מילוי" תפקיד של דירקטור כראוי</w:t>
      </w:r>
      <w:r>
        <w:rPr>
          <w:rFonts w:hint="cs"/>
          <w:rtl/>
        </w:rPr>
        <w:t xml:space="preserve">. </w:t>
      </w:r>
    </w:p>
    <w:p w:rsidR="00282F22" w:rsidRDefault="00282F22" w:rsidP="00282F22">
      <w:pPr>
        <w:pStyle w:val="Ruller4"/>
        <w:numPr>
          <w:ilvl w:val="0"/>
          <w:numId w:val="0"/>
        </w:numPr>
      </w:pPr>
    </w:p>
    <w:p w:rsidR="00282F22" w:rsidRDefault="00282F22" w:rsidP="00282F22">
      <w:pPr>
        <w:pStyle w:val="Ruller4"/>
      </w:pPr>
      <w:r>
        <w:rPr>
          <w:rFonts w:hint="cs"/>
          <w:rtl/>
        </w:rPr>
        <w:t xml:space="preserve">מעבר לכך, קיימת </w:t>
      </w:r>
      <w:r w:rsidRPr="003F4B42">
        <w:rPr>
          <w:rFonts w:hint="cs"/>
          <w:rtl/>
        </w:rPr>
        <w:t xml:space="preserve">מידה רבה של צדק בטענה כי המילים "אין לי אמון ביכולותיך", המסיימות את מכתב השימוע, מבטאות פן של הערכה אישית של יכולות העותר, להבדיל מהערכה המתבססת על תשתית מקצועית. </w:t>
      </w:r>
      <w:r>
        <w:rPr>
          <w:rFonts w:hint="cs"/>
          <w:rtl/>
        </w:rPr>
        <w:t xml:space="preserve">זאת מבלי להתעלם מטענת השרים, שאינה משכנעת, כי מדובר ב"אבדן אמון" על רקע </w:t>
      </w:r>
      <w:r w:rsidRPr="003F4B42">
        <w:rPr>
          <w:rFonts w:hint="cs"/>
          <w:rtl/>
        </w:rPr>
        <w:t>מקצועי.</w:t>
      </w:r>
      <w:r>
        <w:rPr>
          <w:rFonts w:hint="cs"/>
          <w:rtl/>
        </w:rPr>
        <w:t xml:space="preserve"> </w:t>
      </w:r>
      <w:r w:rsidRPr="003C59C3">
        <w:rPr>
          <w:rFonts w:ascii="Century" w:hAnsi="Century" w:hint="cs"/>
          <w:rtl/>
        </w:rPr>
        <w:t xml:space="preserve">כאמור לעיל, לא בכדי הסמכות הקבועה בסעיף 22(א)(6) להעברת דירקטור מתפקידו הינה סמכות המסורה </w:t>
      </w:r>
      <w:r w:rsidRPr="003C59C3">
        <w:rPr>
          <w:rFonts w:ascii="Century" w:hAnsi="Century" w:cs="Miriam" w:hint="cs"/>
          <w:b/>
          <w:spacing w:val="0"/>
          <w:szCs w:val="24"/>
          <w:rtl/>
        </w:rPr>
        <w:t>לרשות</w:t>
      </w:r>
      <w:r w:rsidRPr="003C59C3">
        <w:rPr>
          <w:rFonts w:ascii="Century" w:hAnsi="Century" w:hint="cs"/>
          <w:rtl/>
        </w:rPr>
        <w:t xml:space="preserve"> או לשרים בהתייעצות עם הרשות, דבר המלמד כאמור גם כן על אופייה המקצועי של הבחינה הנדרשת לצורך העברת דירקטור מתפקידו, תוך מתן משקל משמעותי ל</w:t>
      </w:r>
      <w:r>
        <w:rPr>
          <w:rFonts w:hint="cs"/>
          <w:rtl/>
        </w:rPr>
        <w:t>רשות, כגוף מקצועי</w:t>
      </w:r>
      <w:r w:rsidRPr="001C5D73">
        <w:rPr>
          <w:rtl/>
        </w:rPr>
        <w:t xml:space="preserve"> </w:t>
      </w:r>
      <w:r w:rsidRPr="001C5D73">
        <w:rPr>
          <w:rFonts w:hint="eastAsia"/>
          <w:rtl/>
        </w:rPr>
        <w:t>אשר</w:t>
      </w:r>
      <w:r w:rsidRPr="001C5D73">
        <w:rPr>
          <w:rtl/>
        </w:rPr>
        <w:t xml:space="preserve"> </w:t>
      </w:r>
      <w:r>
        <w:rPr>
          <w:rFonts w:hint="cs"/>
          <w:rtl/>
        </w:rPr>
        <w:t>אמון על הפיקוח על החברות הממשלתיות, ש</w:t>
      </w:r>
      <w:r>
        <w:rPr>
          <w:rFonts w:hint="eastAsia"/>
          <w:rtl/>
        </w:rPr>
        <w:t>המלצותי</w:t>
      </w:r>
      <w:r>
        <w:rPr>
          <w:rFonts w:hint="cs"/>
          <w:rtl/>
        </w:rPr>
        <w:t>ה</w:t>
      </w:r>
      <w:r w:rsidRPr="001C5D73">
        <w:rPr>
          <w:rtl/>
        </w:rPr>
        <w:t xml:space="preserve"> </w:t>
      </w:r>
      <w:r w:rsidRPr="001C5D73">
        <w:rPr>
          <w:rFonts w:hint="eastAsia"/>
          <w:rtl/>
        </w:rPr>
        <w:t>מבוססות</w:t>
      </w:r>
      <w:r w:rsidRPr="001C5D73">
        <w:rPr>
          <w:rtl/>
        </w:rPr>
        <w:t xml:space="preserve"> </w:t>
      </w:r>
      <w:r w:rsidRPr="001C5D73">
        <w:rPr>
          <w:rFonts w:hint="eastAsia"/>
          <w:rtl/>
        </w:rPr>
        <w:t>על</w:t>
      </w:r>
      <w:r w:rsidRPr="001C5D73">
        <w:rPr>
          <w:rtl/>
        </w:rPr>
        <w:t xml:space="preserve"> </w:t>
      </w:r>
      <w:r w:rsidRPr="001C5D73">
        <w:rPr>
          <w:rFonts w:hint="eastAsia"/>
          <w:rtl/>
        </w:rPr>
        <w:t>מומחיות</w:t>
      </w:r>
      <w:r w:rsidRPr="001C5D73">
        <w:rPr>
          <w:rtl/>
        </w:rPr>
        <w:t xml:space="preserve">, </w:t>
      </w:r>
      <w:r w:rsidRPr="001C5D73">
        <w:rPr>
          <w:rFonts w:hint="eastAsia"/>
          <w:rtl/>
        </w:rPr>
        <w:t>ידע</w:t>
      </w:r>
      <w:r w:rsidRPr="001C5D73">
        <w:rPr>
          <w:rtl/>
        </w:rPr>
        <w:t xml:space="preserve"> </w:t>
      </w:r>
      <w:r w:rsidRPr="001C5D73">
        <w:rPr>
          <w:rFonts w:hint="eastAsia"/>
          <w:rtl/>
        </w:rPr>
        <w:t>וניסיון</w:t>
      </w:r>
      <w:r>
        <w:rPr>
          <w:rFonts w:hint="cs"/>
          <w:rtl/>
        </w:rPr>
        <w:t xml:space="preserve"> (וראו למשל: עניין</w:t>
      </w:r>
      <w:r w:rsidRPr="003C59C3">
        <w:rPr>
          <w:rFonts w:ascii="Century" w:hAnsi="Century" w:cs="Miriam"/>
          <w:b/>
          <w:spacing w:val="0"/>
          <w:szCs w:val="24"/>
          <w:rtl/>
        </w:rPr>
        <w:t xml:space="preserve"> </w:t>
      </w:r>
      <w:r w:rsidRPr="003C59C3">
        <w:rPr>
          <w:rFonts w:ascii="Century" w:hAnsi="Century" w:cs="Miriam" w:hint="eastAsia"/>
          <w:b/>
          <w:spacing w:val="0"/>
          <w:szCs w:val="24"/>
          <w:rtl/>
        </w:rPr>
        <w:t>נבון</w:t>
      </w:r>
      <w:r>
        <w:rPr>
          <w:rFonts w:hint="cs"/>
          <w:rtl/>
        </w:rPr>
        <w:t>,</w:t>
      </w:r>
      <w:r w:rsidRPr="001C5D73">
        <w:rPr>
          <w:rFonts w:hint="cs"/>
          <w:rtl/>
        </w:rPr>
        <w:t xml:space="preserve"> </w:t>
      </w:r>
      <w:r>
        <w:rPr>
          <w:rFonts w:hint="cs"/>
          <w:rtl/>
        </w:rPr>
        <w:t xml:space="preserve">פסקה 51). </w:t>
      </w:r>
    </w:p>
    <w:p w:rsidR="00282F22" w:rsidRDefault="00282F22" w:rsidP="00282F22">
      <w:pPr>
        <w:pStyle w:val="Ruller4"/>
        <w:numPr>
          <w:ilvl w:val="0"/>
          <w:numId w:val="0"/>
        </w:numPr>
      </w:pPr>
    </w:p>
    <w:p w:rsidR="00282F22" w:rsidRDefault="00282F22" w:rsidP="00282F22">
      <w:pPr>
        <w:pStyle w:val="Ruller4"/>
        <w:rPr>
          <w:rtl/>
        </w:rPr>
      </w:pPr>
      <w:r>
        <w:rPr>
          <w:rFonts w:hint="cs"/>
          <w:rtl/>
        </w:rPr>
        <w:lastRenderedPageBreak/>
        <w:t xml:space="preserve">בענייננו, לא רק שעולה כי בשיחה בין השר לעותר כבר התגבשה אצל השר ההחלטה על העברת העותר מתפקידו; ולא רק שלא הוצגה תשתית עובדתית מבוססת לגיבוש החלטה על העברת העותר מתפקידו באותו מועד; אלא שיש בשיחה כדי להשליך על בחינת הליך ההיוועצות והליך השימוע שנטען כי התקיימו לאחר מכן. </w:t>
      </w:r>
    </w:p>
    <w:p w:rsidR="00282F22" w:rsidRDefault="00282F22" w:rsidP="00282F22">
      <w:pPr>
        <w:pStyle w:val="Ruller41"/>
        <w:rPr>
          <w:rtl/>
        </w:rPr>
      </w:pPr>
    </w:p>
    <w:p w:rsidR="00282F22" w:rsidRDefault="00282F22" w:rsidP="00282F22">
      <w:pPr>
        <w:pStyle w:val="Ruller4"/>
      </w:pPr>
      <w:r>
        <w:rPr>
          <w:rFonts w:hint="cs"/>
          <w:rtl/>
        </w:rPr>
        <w:t>ונזכיר, לאחר שיחה זו נשלח מכתב היוועצות לרשות, ולאחר קבלת המענה מהרשות נשלח מכתב השימוע לעותר. הן בטיוטת מכתב השימוע שצורף למכתב ההיוועצות והן במכתב השימוע עצמו נכללו נימוקים דומים. הן שם והן שם הועלו טענות נגד התנהלות הדירקטוריון בראשות העותר, ובכלל זה כי הועמק גירעון החברה המצויה במשבר פיננסי; הדירקטוריון אינו מתווה מדיניות להנהלת החברה "לפיתוח עסקי ולפיתוח מנועי צמיחה"; העותר אינו עושה די במטרה להאיץ את הדיונים על הסכם המימון ותכנית ההבראה; והוא אינו מתווה מדיניות לשיפור התוצאות בתחום הסחר המקוון. כן נטען כי התקבלו תלונות רבות מהציבור על רמת שירות מצד החברה שאינה משביעה רצון; לא נעשו פעולות מצד הדירקטוריון שבראשות העותר כדי לשפר מדד זה; לא הותוותה מדיניות לסגירת יחידות דואר; והתקבלו תלונות רבות מגורמים שונים הנמצאים בממשק אישי עם העותר בשל התנהלותו.</w:t>
      </w:r>
    </w:p>
    <w:p w:rsidR="00282F22" w:rsidRDefault="00282F22" w:rsidP="00282F22">
      <w:pPr>
        <w:pStyle w:val="Ruller4"/>
        <w:numPr>
          <w:ilvl w:val="0"/>
          <w:numId w:val="0"/>
        </w:numPr>
        <w:rPr>
          <w:rtl/>
        </w:rPr>
      </w:pPr>
    </w:p>
    <w:p w:rsidR="00282F22" w:rsidRPr="00BE05A4" w:rsidRDefault="00282F22" w:rsidP="00282F22">
      <w:pPr>
        <w:pStyle w:val="Ruller4"/>
        <w:rPr>
          <w:rtl/>
        </w:rPr>
      </w:pPr>
      <w:r>
        <w:rPr>
          <w:rFonts w:hint="cs"/>
          <w:rtl/>
        </w:rPr>
        <w:t xml:space="preserve">טיוטת מכתב השימוע שצורפה למכתב ההיוועצות ומכתב השימוע שנשלח לבסוף לעותר, כללו את אותם הטיעונים תוך התעלמות מהמענה שניתן בתווך </w:t>
      </w:r>
      <w:r>
        <w:rPr>
          <w:rtl/>
        </w:rPr>
        <w:t>–</w:t>
      </w:r>
      <w:r>
        <w:rPr>
          <w:rFonts w:hint="cs"/>
          <w:rtl/>
        </w:rPr>
        <w:t xml:space="preserve"> בין שליחת מכתב ההיוועצות לרשות לבין שליחת מכתב השימוע לעותר </w:t>
      </w:r>
      <w:r>
        <w:rPr>
          <w:rtl/>
        </w:rPr>
        <w:t>–</w:t>
      </w:r>
      <w:r>
        <w:rPr>
          <w:rFonts w:hint="cs"/>
          <w:rtl/>
        </w:rPr>
        <w:t xml:space="preserve"> מטעם הרשות. זאת חרף העובדה שבמענה הרשות ניתנה התייחסות רחבה לטענות שהעלו השרים ונפרשה תמונה רחבה הן </w:t>
      </w:r>
      <w:r w:rsidRPr="00F70A2F">
        <w:rPr>
          <w:rFonts w:hint="cs"/>
          <w:rtl/>
        </w:rPr>
        <w:t>בקשר להכנסות החברה</w:t>
      </w:r>
      <w:r>
        <w:rPr>
          <w:rFonts w:hint="cs"/>
          <w:rtl/>
        </w:rPr>
        <w:t>;</w:t>
      </w:r>
      <w:r w:rsidRPr="00F70A2F">
        <w:rPr>
          <w:rFonts w:hint="cs"/>
          <w:rtl/>
        </w:rPr>
        <w:t xml:space="preserve"> </w:t>
      </w:r>
      <w:r>
        <w:rPr>
          <w:rFonts w:hint="cs"/>
          <w:rtl/>
        </w:rPr>
        <w:t xml:space="preserve">הן </w:t>
      </w:r>
      <w:r w:rsidRPr="00F70A2F">
        <w:rPr>
          <w:rFonts w:hint="cs"/>
          <w:rtl/>
        </w:rPr>
        <w:t>בקשר ל</w:t>
      </w:r>
      <w:r>
        <w:rPr>
          <w:rFonts w:hint="cs"/>
          <w:rtl/>
        </w:rPr>
        <w:t xml:space="preserve">טענות בעניין </w:t>
      </w:r>
      <w:r w:rsidRPr="00F70A2F">
        <w:rPr>
          <w:rFonts w:hint="cs"/>
          <w:rtl/>
        </w:rPr>
        <w:t>פיתוח תחום הסחר המקוון</w:t>
      </w:r>
      <w:r>
        <w:rPr>
          <w:rFonts w:hint="cs"/>
          <w:rtl/>
        </w:rPr>
        <w:t xml:space="preserve">; הן </w:t>
      </w:r>
      <w:r w:rsidRPr="00F70A2F">
        <w:rPr>
          <w:rFonts w:hint="cs"/>
          <w:rtl/>
        </w:rPr>
        <w:t>בהתייחס לטענות</w:t>
      </w:r>
      <w:r>
        <w:rPr>
          <w:rFonts w:hint="cs"/>
          <w:rtl/>
        </w:rPr>
        <w:t xml:space="preserve"> בדבר היעדר פיתוח עסקי של החברה; הן בנוגע לרמת השירות לציבור ולסגירת יחידות הדואר; והן בהתייחס </w:t>
      </w:r>
      <w:r w:rsidRPr="00F70A2F">
        <w:rPr>
          <w:rFonts w:hint="cs"/>
          <w:rtl/>
        </w:rPr>
        <w:t>להתארכות דיוני הסכם המימון ותכנית ההבראה</w:t>
      </w:r>
      <w:r>
        <w:rPr>
          <w:rFonts w:hint="cs"/>
          <w:rtl/>
        </w:rPr>
        <w:t>.</w:t>
      </w:r>
      <w:r w:rsidRPr="00923AC7">
        <w:rPr>
          <w:rFonts w:hint="cs"/>
          <w:rtl/>
        </w:rPr>
        <w:t xml:space="preserve"> </w:t>
      </w:r>
      <w:r>
        <w:rPr>
          <w:rFonts w:hint="cs"/>
          <w:rtl/>
        </w:rPr>
        <w:t xml:space="preserve">הרשות נתנה דעתה לכל אחת מטענות השרים ונתנה התייחסות מפורטת ומגובה בנתונים שונים בעניין התנהלות הדירקטוריון, כמו גם ביחס להתפתחויות שחלו בחברה ולאופן תפקוד ההנהלה. כל אלה לא נזכרו במכתב השימוע שנשלח לעותר ולא נעשה ניסיון להתמודד עם הנתונים והטענות שהעלתה הרשות, למעט אזכור קצר בדמות "תמיהה" על עמדת הרשות. במכתב השימוע שבו ועלו אפוא אותן טענות שנטענו בטיוטת מכתב השימוע, בהתייחס </w:t>
      </w:r>
      <w:r w:rsidRPr="00923AC7">
        <w:rPr>
          <w:rFonts w:ascii="Century" w:hAnsi="Century" w:cs="Miriam" w:hint="cs"/>
          <w:b/>
          <w:spacing w:val="0"/>
          <w:sz w:val="22"/>
          <w:szCs w:val="24"/>
          <w:rtl/>
        </w:rPr>
        <w:t>לאותם נתונים</w:t>
      </w:r>
      <w:r w:rsidRPr="00C70088">
        <w:rPr>
          <w:rFonts w:hint="cs"/>
          <w:rtl/>
        </w:rPr>
        <w:t xml:space="preserve"> </w:t>
      </w:r>
      <w:r>
        <w:rPr>
          <w:rFonts w:hint="cs"/>
          <w:rtl/>
        </w:rPr>
        <w:t xml:space="preserve">ותוך פרישת </w:t>
      </w:r>
      <w:r w:rsidRPr="00923AC7">
        <w:rPr>
          <w:rFonts w:ascii="Century" w:hAnsi="Century" w:cs="Miriam" w:hint="cs"/>
          <w:b/>
          <w:spacing w:val="0"/>
          <w:sz w:val="22"/>
          <w:szCs w:val="24"/>
          <w:rtl/>
        </w:rPr>
        <w:t>אותה תמונת מצב</w:t>
      </w:r>
      <w:r>
        <w:rPr>
          <w:rFonts w:hint="cs"/>
          <w:rtl/>
        </w:rPr>
        <w:t>, בהתעלם מהטענות, הנתונים והתמונה שהציגה הרשות בהרחבה במענה מטעמה.</w:t>
      </w:r>
    </w:p>
    <w:p w:rsidR="00282F22" w:rsidRDefault="00282F22" w:rsidP="00282F22">
      <w:pPr>
        <w:pStyle w:val="Ruller4"/>
        <w:numPr>
          <w:ilvl w:val="0"/>
          <w:numId w:val="0"/>
        </w:numPr>
        <w:rPr>
          <w:rtl/>
        </w:rPr>
      </w:pPr>
    </w:p>
    <w:p w:rsidR="00282F22" w:rsidRDefault="00282F22" w:rsidP="00282F22">
      <w:pPr>
        <w:pStyle w:val="Ruller4"/>
        <w:rPr>
          <w:rtl/>
        </w:rPr>
      </w:pPr>
      <w:r>
        <w:rPr>
          <w:rFonts w:hint="cs"/>
          <w:rtl/>
        </w:rPr>
        <w:t xml:space="preserve">מכל האמור לעיל עולה אפוא כי שר התקשורת הודיע לעותר כבר בחודש מרץ 2023 על כוונתו להעבירו מתפקידו; התשתית העובדתית שהוצגה ברקע להודעה זו הינה </w:t>
      </w:r>
      <w:r>
        <w:rPr>
          <w:rFonts w:hint="cs"/>
          <w:rtl/>
        </w:rPr>
        <w:lastRenderedPageBreak/>
        <w:t>חלשה ביותר; השר עצמו התבטא באמצעי התקשורת כי ההחלטה על הדחת העותר התקבלה כבר בחודש מרץ 2023; ולמכתב ההיוועצות שנשלח לאחר מכן לרשות צורפה טיוטת מכתב שימוע שהעתק דומה וכמעט זהה לו נשלח מאוחר יותר לעותר בגדר הליך "שימוע", תוך התעלמות ממענה מפורט מטעם הרשות, להתייחסות שניתנה ולנתונים שהוצגו במענה מטעמה.</w:t>
      </w:r>
      <w:r w:rsidRPr="00146B46">
        <w:rPr>
          <w:rtl/>
        </w:rPr>
        <w:t xml:space="preserve"> </w:t>
      </w:r>
      <w:r>
        <w:rPr>
          <w:rFonts w:hint="cs"/>
          <w:rtl/>
        </w:rPr>
        <w:t>במצב דברים זה, מוקשה בעיניי לראות בהליך ההיוועצות והליך השימוע שנעשו בדרך כזו, כהליכים שעומדים בדרישות הדין.</w:t>
      </w:r>
      <w:r>
        <w:rPr>
          <w:rtl/>
        </w:rPr>
        <w:tab/>
      </w:r>
    </w:p>
    <w:p w:rsidR="00282F22" w:rsidRDefault="00282F22" w:rsidP="00282F22">
      <w:pPr>
        <w:pStyle w:val="Ruller4"/>
        <w:numPr>
          <w:ilvl w:val="0"/>
          <w:numId w:val="0"/>
        </w:numPr>
        <w:rPr>
          <w:rtl/>
        </w:rPr>
      </w:pPr>
    </w:p>
    <w:p w:rsidR="00282F22" w:rsidRDefault="00282F22" w:rsidP="00282F22">
      <w:pPr>
        <w:pStyle w:val="Ruller4"/>
        <w:rPr>
          <w:rtl/>
        </w:rPr>
      </w:pPr>
      <w:r w:rsidRPr="0075074E">
        <w:rPr>
          <w:rFonts w:hint="cs"/>
          <w:rtl/>
        </w:rPr>
        <w:t xml:space="preserve">על כל אלה </w:t>
      </w:r>
      <w:r>
        <w:rPr>
          <w:rFonts w:hint="cs"/>
          <w:rtl/>
        </w:rPr>
        <w:t xml:space="preserve">ייאמר </w:t>
      </w:r>
      <w:r w:rsidRPr="0075074E">
        <w:rPr>
          <w:rFonts w:hint="cs"/>
          <w:rtl/>
        </w:rPr>
        <w:t>כי לעתירה צורף מכתב ממנהלת רשות החברות הממשלתיות מיום 23.6.2023 לנציב שירות המדינה ולמשנה ליועצת המשפטית לממשלה (ציבורי-מנהלי)</w:t>
      </w:r>
      <w:r>
        <w:rPr>
          <w:rFonts w:hint="cs"/>
          <w:rtl/>
        </w:rPr>
        <w:t>,</w:t>
      </w:r>
      <w:r w:rsidRPr="0075074E">
        <w:rPr>
          <w:rFonts w:hint="cs"/>
          <w:rtl/>
        </w:rPr>
        <w:t xml:space="preserve"> ב</w:t>
      </w:r>
      <w:r>
        <w:rPr>
          <w:rFonts w:hint="cs"/>
          <w:rtl/>
        </w:rPr>
        <w:t>ו</w:t>
      </w:r>
      <w:r w:rsidRPr="0075074E">
        <w:rPr>
          <w:rFonts w:hint="cs"/>
          <w:rtl/>
        </w:rPr>
        <w:t xml:space="preserve"> תואר כי נעשה ניסיון </w:t>
      </w:r>
      <w:r>
        <w:rPr>
          <w:rFonts w:hint="cs"/>
          <w:rtl/>
        </w:rPr>
        <w:t>מצד השר לשיתוף פעולה אזורי</w:t>
      </w:r>
      <w:r w:rsidRPr="0075074E">
        <w:rPr>
          <w:rFonts w:hint="cs"/>
          <w:rtl/>
        </w:rPr>
        <w:t xml:space="preserve"> "להתערב בעבודתה המקצועית של הרשות", ובתוך כך התבקשה מנהלת רשות החברות הממשלתיות לסטות מעמדתה המקצועית בנושאים שונים, ביניהם עמד</w:t>
      </w:r>
      <w:r>
        <w:rPr>
          <w:rFonts w:hint="cs"/>
          <w:rtl/>
        </w:rPr>
        <w:t>ת</w:t>
      </w:r>
      <w:r w:rsidRPr="0075074E">
        <w:rPr>
          <w:rFonts w:hint="cs"/>
          <w:rtl/>
        </w:rPr>
        <w:t xml:space="preserve">ה </w:t>
      </w:r>
      <w:r>
        <w:rPr>
          <w:rFonts w:hint="cs"/>
          <w:rtl/>
        </w:rPr>
        <w:t>בקשר ל"</w:t>
      </w:r>
      <w:r w:rsidRPr="0075074E">
        <w:rPr>
          <w:rFonts w:hint="cs"/>
          <w:rtl/>
        </w:rPr>
        <w:t>התייעצות לקראת השימוע להדחת יו"ר הדואר והתנגדותי להדחה" (נספח 24 לעתירה).</w:t>
      </w:r>
      <w:r>
        <w:rPr>
          <w:rFonts w:hint="cs"/>
          <w:rtl/>
        </w:rPr>
        <w:t xml:space="preserve"> מכתב זה גם כן צובע את סוגיית ההתייעצות באור בעייתי, בלשון המעטה.</w:t>
      </w:r>
    </w:p>
    <w:p w:rsidR="00282F22" w:rsidRPr="00320CB3" w:rsidRDefault="00282F22" w:rsidP="00282F22">
      <w:pPr>
        <w:pStyle w:val="Ruller41"/>
      </w:pPr>
    </w:p>
    <w:p w:rsidR="00282F22" w:rsidRPr="00EA197A" w:rsidRDefault="00282F22" w:rsidP="00282F22">
      <w:pPr>
        <w:pStyle w:val="Ruller4"/>
      </w:pPr>
      <w:r>
        <w:rPr>
          <w:rFonts w:hint="cs"/>
          <w:rtl/>
        </w:rPr>
        <w:t xml:space="preserve">מצבור האירועים האמור לעיל מוביל אפוא למסקנה כי הפגמים המשמעותיים שנפלו בהליך מחייבים להביא לבטלות החלטת השרים. </w:t>
      </w:r>
      <w:r w:rsidRPr="0045157A">
        <w:rPr>
          <w:rFonts w:hint="cs"/>
          <w:rtl/>
        </w:rPr>
        <w:t xml:space="preserve">אמנם, </w:t>
      </w:r>
      <w:r w:rsidRPr="0045157A">
        <w:rPr>
          <w:rFonts w:hint="eastAsia"/>
          <w:rtl/>
        </w:rPr>
        <w:t>לא</w:t>
      </w:r>
      <w:r w:rsidRPr="0045157A">
        <w:rPr>
          <w:rtl/>
        </w:rPr>
        <w:t xml:space="preserve"> </w:t>
      </w:r>
      <w:r w:rsidRPr="0045157A">
        <w:rPr>
          <w:rFonts w:hint="eastAsia"/>
          <w:rtl/>
        </w:rPr>
        <w:t>כל</w:t>
      </w:r>
      <w:r w:rsidRPr="0045157A">
        <w:rPr>
          <w:rtl/>
        </w:rPr>
        <w:t xml:space="preserve"> </w:t>
      </w:r>
      <w:r w:rsidRPr="0045157A">
        <w:rPr>
          <w:rFonts w:hint="eastAsia"/>
          <w:rtl/>
        </w:rPr>
        <w:t>פגם</w:t>
      </w:r>
      <w:r w:rsidRPr="0045157A">
        <w:rPr>
          <w:rtl/>
        </w:rPr>
        <w:t xml:space="preserve"> </w:t>
      </w:r>
      <w:r w:rsidRPr="0045157A">
        <w:rPr>
          <w:rFonts w:hint="eastAsia"/>
          <w:rtl/>
        </w:rPr>
        <w:t>שנפל</w:t>
      </w:r>
      <w:r w:rsidRPr="0045157A">
        <w:rPr>
          <w:rtl/>
        </w:rPr>
        <w:t xml:space="preserve"> </w:t>
      </w:r>
      <w:r w:rsidRPr="0045157A">
        <w:rPr>
          <w:rFonts w:hint="eastAsia"/>
          <w:rtl/>
        </w:rPr>
        <w:t>בהחלטה</w:t>
      </w:r>
      <w:r w:rsidRPr="0045157A">
        <w:rPr>
          <w:rtl/>
        </w:rPr>
        <w:t xml:space="preserve"> </w:t>
      </w:r>
      <w:proofErr w:type="spellStart"/>
      <w:r w:rsidRPr="0045157A">
        <w:rPr>
          <w:rFonts w:hint="eastAsia"/>
          <w:rtl/>
        </w:rPr>
        <w:t>מינהלית</w:t>
      </w:r>
      <w:proofErr w:type="spellEnd"/>
      <w:r w:rsidRPr="0045157A">
        <w:rPr>
          <w:rtl/>
        </w:rPr>
        <w:t xml:space="preserve"> </w:t>
      </w:r>
      <w:r w:rsidRPr="0045157A">
        <w:rPr>
          <w:rFonts w:hint="cs"/>
          <w:rtl/>
        </w:rPr>
        <w:t>יביא בהכרח לבטלות</w:t>
      </w:r>
      <w:r>
        <w:rPr>
          <w:rFonts w:hint="cs"/>
          <w:rtl/>
        </w:rPr>
        <w:t>ה</w:t>
      </w:r>
      <w:r w:rsidRPr="0045157A">
        <w:rPr>
          <w:rFonts w:hint="cs"/>
          <w:rtl/>
        </w:rPr>
        <w:t xml:space="preserve"> </w:t>
      </w:r>
      <w:r w:rsidRPr="0045157A">
        <w:rPr>
          <w:rtl/>
        </w:rPr>
        <w:t>(</w:t>
      </w:r>
      <w:r w:rsidRPr="0045157A">
        <w:rPr>
          <w:rFonts w:hint="eastAsia"/>
          <w:rtl/>
        </w:rPr>
        <w:t>ראו</w:t>
      </w:r>
      <w:r w:rsidRPr="0045157A">
        <w:rPr>
          <w:rtl/>
        </w:rPr>
        <w:t xml:space="preserve">, </w:t>
      </w:r>
      <w:r w:rsidRPr="0045157A">
        <w:rPr>
          <w:rFonts w:hint="cs"/>
          <w:rtl/>
        </w:rPr>
        <w:t xml:space="preserve">למשל: </w:t>
      </w:r>
      <w:r w:rsidRPr="0045157A">
        <w:rPr>
          <w:rFonts w:hint="eastAsia"/>
          <w:rtl/>
        </w:rPr>
        <w:t>בג</w:t>
      </w:r>
      <w:r w:rsidRPr="0045157A">
        <w:rPr>
          <w:rFonts w:hint="cs"/>
          <w:rtl/>
        </w:rPr>
        <w:t>"</w:t>
      </w:r>
      <w:r w:rsidRPr="0045157A">
        <w:rPr>
          <w:rFonts w:hint="eastAsia"/>
          <w:rtl/>
        </w:rPr>
        <w:t>ץ</w:t>
      </w:r>
      <w:r w:rsidRPr="0045157A">
        <w:rPr>
          <w:rtl/>
        </w:rPr>
        <w:t xml:space="preserve"> 5303/16 </w:t>
      </w:r>
      <w:r w:rsidRPr="0045157A">
        <w:rPr>
          <w:rFonts w:cs="Miriam" w:hint="eastAsia"/>
          <w:b/>
          <w:spacing w:val="0"/>
          <w:sz w:val="22"/>
          <w:szCs w:val="24"/>
          <w:rtl/>
        </w:rPr>
        <w:t>גרמן</w:t>
      </w:r>
      <w:r w:rsidRPr="0045157A">
        <w:rPr>
          <w:rFonts w:cs="Miriam"/>
          <w:b/>
          <w:spacing w:val="0"/>
          <w:sz w:val="22"/>
          <w:szCs w:val="24"/>
          <w:rtl/>
        </w:rPr>
        <w:t xml:space="preserve"> </w:t>
      </w:r>
      <w:r w:rsidRPr="0045157A">
        <w:rPr>
          <w:rFonts w:cs="Miriam" w:hint="eastAsia"/>
          <w:b/>
          <w:spacing w:val="0"/>
          <w:sz w:val="22"/>
          <w:szCs w:val="24"/>
          <w:rtl/>
        </w:rPr>
        <w:t>נ</w:t>
      </w:r>
      <w:r w:rsidRPr="0045157A">
        <w:rPr>
          <w:rFonts w:cs="Miriam"/>
          <w:b/>
          <w:spacing w:val="0"/>
          <w:sz w:val="22"/>
          <w:szCs w:val="24"/>
          <w:rtl/>
        </w:rPr>
        <w:t xml:space="preserve">' </w:t>
      </w:r>
      <w:r w:rsidRPr="0045157A">
        <w:rPr>
          <w:rFonts w:cs="Miriam" w:hint="eastAsia"/>
          <w:b/>
          <w:spacing w:val="0"/>
          <w:sz w:val="22"/>
          <w:szCs w:val="24"/>
          <w:rtl/>
        </w:rPr>
        <w:t>שר</w:t>
      </w:r>
      <w:r w:rsidRPr="0045157A">
        <w:rPr>
          <w:rFonts w:cs="Miriam"/>
          <w:b/>
          <w:spacing w:val="0"/>
          <w:sz w:val="22"/>
          <w:szCs w:val="24"/>
          <w:rtl/>
        </w:rPr>
        <w:t xml:space="preserve"> </w:t>
      </w:r>
      <w:r w:rsidRPr="0045157A">
        <w:rPr>
          <w:rFonts w:cs="Miriam" w:hint="eastAsia"/>
          <w:b/>
          <w:spacing w:val="0"/>
          <w:sz w:val="22"/>
          <w:szCs w:val="24"/>
          <w:rtl/>
        </w:rPr>
        <w:t>הבריאות</w:t>
      </w:r>
      <w:r w:rsidRPr="0045157A">
        <w:rPr>
          <w:rFonts w:hint="cs"/>
          <w:rtl/>
        </w:rPr>
        <w:t>, פסקה 21 (13.11.2018)</w:t>
      </w:r>
      <w:r>
        <w:rPr>
          <w:rFonts w:hint="cs"/>
          <w:rtl/>
        </w:rPr>
        <w:t xml:space="preserve"> (להלן: עניין </w:t>
      </w:r>
      <w:r w:rsidRPr="007B07F2">
        <w:rPr>
          <w:rFonts w:ascii="Century" w:hAnsi="Century" w:cs="Miriam" w:hint="eastAsia"/>
          <w:b/>
          <w:spacing w:val="0"/>
          <w:sz w:val="22"/>
          <w:szCs w:val="24"/>
          <w:rtl/>
        </w:rPr>
        <w:t>גרמן</w:t>
      </w:r>
      <w:r>
        <w:rPr>
          <w:rFonts w:hint="cs"/>
          <w:rtl/>
        </w:rPr>
        <w:t>)</w:t>
      </w:r>
      <w:r w:rsidRPr="0045157A">
        <w:rPr>
          <w:rtl/>
        </w:rPr>
        <w:t xml:space="preserve">; </w:t>
      </w:r>
      <w:r w:rsidRPr="0045157A">
        <w:rPr>
          <w:rFonts w:hint="eastAsia"/>
          <w:rtl/>
        </w:rPr>
        <w:t>ע</w:t>
      </w:r>
      <w:r w:rsidRPr="0045157A">
        <w:rPr>
          <w:rFonts w:hint="cs"/>
          <w:rtl/>
        </w:rPr>
        <w:t>"</w:t>
      </w:r>
      <w:r w:rsidRPr="0045157A">
        <w:rPr>
          <w:rFonts w:hint="eastAsia"/>
          <w:rtl/>
        </w:rPr>
        <w:t>א</w:t>
      </w:r>
      <w:r w:rsidRPr="0045157A">
        <w:rPr>
          <w:rtl/>
        </w:rPr>
        <w:t xml:space="preserve"> 3454/21 </w:t>
      </w:r>
      <w:r w:rsidRPr="0045157A">
        <w:rPr>
          <w:rFonts w:cs="Miriam" w:hint="eastAsia"/>
          <w:b/>
          <w:spacing w:val="0"/>
          <w:sz w:val="22"/>
          <w:szCs w:val="24"/>
          <w:rtl/>
        </w:rPr>
        <w:t>יינות</w:t>
      </w:r>
      <w:r w:rsidRPr="0045157A">
        <w:rPr>
          <w:rFonts w:cs="Miriam"/>
          <w:b/>
          <w:spacing w:val="0"/>
          <w:sz w:val="22"/>
          <w:szCs w:val="24"/>
          <w:rtl/>
        </w:rPr>
        <w:t xml:space="preserve"> </w:t>
      </w:r>
      <w:r w:rsidRPr="0045157A">
        <w:rPr>
          <w:rFonts w:cs="Miriam" w:hint="eastAsia"/>
          <w:b/>
          <w:spacing w:val="0"/>
          <w:sz w:val="22"/>
          <w:szCs w:val="24"/>
          <w:rtl/>
        </w:rPr>
        <w:t>ביתן</w:t>
      </w:r>
      <w:r w:rsidRPr="0045157A">
        <w:rPr>
          <w:rFonts w:cs="Miriam"/>
          <w:b/>
          <w:spacing w:val="0"/>
          <w:sz w:val="22"/>
          <w:szCs w:val="24"/>
          <w:rtl/>
        </w:rPr>
        <w:t xml:space="preserve"> </w:t>
      </w:r>
      <w:r w:rsidRPr="0045157A">
        <w:rPr>
          <w:rFonts w:cs="Miriam" w:hint="eastAsia"/>
          <w:b/>
          <w:spacing w:val="0"/>
          <w:sz w:val="22"/>
          <w:szCs w:val="24"/>
          <w:rtl/>
        </w:rPr>
        <w:t>בע</w:t>
      </w:r>
      <w:r w:rsidRPr="0045157A">
        <w:rPr>
          <w:rFonts w:cs="Miriam"/>
          <w:b/>
          <w:spacing w:val="0"/>
          <w:sz w:val="22"/>
          <w:szCs w:val="24"/>
          <w:rtl/>
        </w:rPr>
        <w:t>"</w:t>
      </w:r>
      <w:r w:rsidRPr="0045157A">
        <w:rPr>
          <w:rFonts w:cs="Miriam" w:hint="eastAsia"/>
          <w:b/>
          <w:spacing w:val="0"/>
          <w:sz w:val="22"/>
          <w:szCs w:val="24"/>
          <w:rtl/>
        </w:rPr>
        <w:t>מ</w:t>
      </w:r>
      <w:r w:rsidRPr="0045157A">
        <w:rPr>
          <w:rFonts w:cs="Miriam"/>
          <w:b/>
          <w:spacing w:val="0"/>
          <w:sz w:val="22"/>
          <w:szCs w:val="24"/>
          <w:rtl/>
        </w:rPr>
        <w:t xml:space="preserve"> </w:t>
      </w:r>
      <w:r w:rsidRPr="0045157A">
        <w:rPr>
          <w:rFonts w:cs="Miriam" w:hint="eastAsia"/>
          <w:b/>
          <w:spacing w:val="0"/>
          <w:sz w:val="22"/>
          <w:szCs w:val="24"/>
          <w:rtl/>
        </w:rPr>
        <w:t>נ</w:t>
      </w:r>
      <w:r w:rsidRPr="0045157A">
        <w:rPr>
          <w:rFonts w:cs="Miriam"/>
          <w:b/>
          <w:spacing w:val="0"/>
          <w:sz w:val="22"/>
          <w:szCs w:val="24"/>
          <w:rtl/>
        </w:rPr>
        <w:t xml:space="preserve">' </w:t>
      </w:r>
      <w:r w:rsidRPr="0045157A">
        <w:rPr>
          <w:rFonts w:cs="Miriam" w:hint="eastAsia"/>
          <w:b/>
          <w:spacing w:val="0"/>
          <w:sz w:val="22"/>
          <w:szCs w:val="24"/>
          <w:rtl/>
        </w:rPr>
        <w:t>פקיד</w:t>
      </w:r>
      <w:r w:rsidRPr="0045157A">
        <w:rPr>
          <w:rFonts w:cs="Miriam"/>
          <w:b/>
          <w:spacing w:val="0"/>
          <w:sz w:val="22"/>
          <w:szCs w:val="24"/>
          <w:rtl/>
        </w:rPr>
        <w:t xml:space="preserve"> </w:t>
      </w:r>
      <w:r w:rsidRPr="0045157A">
        <w:rPr>
          <w:rFonts w:cs="Miriam" w:hint="eastAsia"/>
          <w:b/>
          <w:spacing w:val="0"/>
          <w:sz w:val="22"/>
          <w:szCs w:val="24"/>
          <w:rtl/>
        </w:rPr>
        <w:t>שומה</w:t>
      </w:r>
      <w:r w:rsidRPr="0045157A">
        <w:rPr>
          <w:rFonts w:cs="Miriam"/>
          <w:b/>
          <w:spacing w:val="0"/>
          <w:sz w:val="22"/>
          <w:szCs w:val="24"/>
          <w:rtl/>
        </w:rPr>
        <w:t xml:space="preserve"> </w:t>
      </w:r>
      <w:r w:rsidRPr="0045157A">
        <w:rPr>
          <w:rFonts w:cs="Miriam" w:hint="eastAsia"/>
          <w:b/>
          <w:spacing w:val="0"/>
          <w:sz w:val="22"/>
          <w:szCs w:val="24"/>
          <w:rtl/>
        </w:rPr>
        <w:t>אשקלון</w:t>
      </w:r>
      <w:r w:rsidRPr="0045157A">
        <w:rPr>
          <w:rFonts w:hint="cs"/>
          <w:rtl/>
        </w:rPr>
        <w:t xml:space="preserve">, פסקה 25 (12.7.2023); </w:t>
      </w:r>
      <w:r w:rsidRPr="0045157A">
        <w:rPr>
          <w:rFonts w:hint="eastAsia"/>
          <w:rtl/>
        </w:rPr>
        <w:t>יצחק</w:t>
      </w:r>
      <w:r w:rsidRPr="0045157A">
        <w:rPr>
          <w:rtl/>
        </w:rPr>
        <w:t xml:space="preserve"> </w:t>
      </w:r>
      <w:r w:rsidRPr="0045157A">
        <w:rPr>
          <w:rFonts w:hint="eastAsia"/>
          <w:rtl/>
        </w:rPr>
        <w:t>זמיר</w:t>
      </w:r>
      <w:r w:rsidRPr="0045157A">
        <w:rPr>
          <w:rtl/>
        </w:rPr>
        <w:t xml:space="preserve"> </w:t>
      </w:r>
      <w:r w:rsidRPr="0045157A">
        <w:rPr>
          <w:rFonts w:cs="Miriam" w:hint="eastAsia"/>
          <w:b/>
          <w:spacing w:val="0"/>
          <w:sz w:val="22"/>
          <w:szCs w:val="24"/>
          <w:rtl/>
        </w:rPr>
        <w:t>הסמכות</w:t>
      </w:r>
      <w:r w:rsidRPr="0045157A">
        <w:rPr>
          <w:rFonts w:cs="Miriam"/>
          <w:b/>
          <w:spacing w:val="0"/>
          <w:sz w:val="22"/>
          <w:szCs w:val="24"/>
          <w:rtl/>
        </w:rPr>
        <w:t xml:space="preserve"> </w:t>
      </w:r>
      <w:proofErr w:type="spellStart"/>
      <w:r w:rsidRPr="0045157A">
        <w:rPr>
          <w:rFonts w:cs="Miriam" w:hint="eastAsia"/>
          <w:b/>
          <w:spacing w:val="0"/>
          <w:sz w:val="22"/>
          <w:szCs w:val="24"/>
          <w:rtl/>
        </w:rPr>
        <w:t>המינהלית</w:t>
      </w:r>
      <w:proofErr w:type="spellEnd"/>
      <w:r w:rsidRPr="0045157A">
        <w:rPr>
          <w:rFonts w:cs="Miriam"/>
          <w:b/>
          <w:spacing w:val="0"/>
          <w:sz w:val="22"/>
          <w:szCs w:val="24"/>
          <w:rtl/>
        </w:rPr>
        <w:t xml:space="preserve"> </w:t>
      </w:r>
      <w:r w:rsidRPr="0045157A">
        <w:rPr>
          <w:rFonts w:hint="eastAsia"/>
          <w:rtl/>
        </w:rPr>
        <w:t>כרך</w:t>
      </w:r>
      <w:r w:rsidRPr="0045157A">
        <w:rPr>
          <w:rtl/>
        </w:rPr>
        <w:t xml:space="preserve"> </w:t>
      </w:r>
      <w:r w:rsidRPr="0045157A">
        <w:rPr>
          <w:rFonts w:hint="eastAsia"/>
          <w:rtl/>
        </w:rPr>
        <w:t>ד</w:t>
      </w:r>
      <w:r w:rsidRPr="0045157A">
        <w:rPr>
          <w:rtl/>
        </w:rPr>
        <w:t xml:space="preserve"> 3001-2992 (2017)</w:t>
      </w:r>
      <w:r w:rsidRPr="0045157A">
        <w:rPr>
          <w:rFonts w:hint="cs"/>
          <w:rtl/>
        </w:rPr>
        <w:t xml:space="preserve">). כמו כן, אין חולק כי בעל הסמכות רשאי שלא לאמץ המלצה או ייעוץ שניתן במסגרת היוועצות סטטוטורית. גם אין חולק כי קיום חובת שימוע בנפש חפצה אין משמעותו כי על הרשות לאמץ ככתבה וכלשונה את עמדתו של </w:t>
      </w:r>
      <w:r>
        <w:rPr>
          <w:rFonts w:hint="cs"/>
          <w:rtl/>
        </w:rPr>
        <w:t xml:space="preserve">מי שעלול להיפגע כתוצאה מההחלטה. </w:t>
      </w:r>
      <w:r w:rsidRPr="0085480F">
        <w:rPr>
          <w:rFonts w:hint="cs"/>
          <w:rtl/>
        </w:rPr>
        <w:t>אולם הפגם במקרה זה לא נעוץ בכך שהשרים החליטו שלא לאמץ את עמדת הגוף עמ</w:t>
      </w:r>
      <w:r>
        <w:rPr>
          <w:rFonts w:hint="cs"/>
          <w:rtl/>
        </w:rPr>
        <w:t>ו</w:t>
      </w:r>
      <w:r w:rsidRPr="0085480F">
        <w:rPr>
          <w:rFonts w:hint="cs"/>
          <w:rtl/>
        </w:rPr>
        <w:t xml:space="preserve"> נדרשו לקיים היוועצות סטטוטורית או </w:t>
      </w:r>
      <w:r>
        <w:rPr>
          <w:rFonts w:hint="cs"/>
          <w:rtl/>
        </w:rPr>
        <w:t xml:space="preserve">את עמדת </w:t>
      </w:r>
      <w:r w:rsidRPr="0085480F">
        <w:rPr>
          <w:rFonts w:hint="cs"/>
          <w:rtl/>
        </w:rPr>
        <w:t xml:space="preserve">העותר שלגביו נדרש קיום חובת שימוע. בנסיבותיו הייחודיות של מקרה זה, הצטברות נתונים עולה כי </w:t>
      </w:r>
      <w:r>
        <w:rPr>
          <w:rFonts w:hint="cs"/>
          <w:rtl/>
        </w:rPr>
        <w:t xml:space="preserve">ההחלטה על העברת העותר מתפקידו התנהלה באופן לא כשר, תוך הפרה משמעותית של חובת היוועצות סטטוטורית וחובת השימוע, אשר עולה כי נעשו למראית עין בלבד. מדובר בתמונה חריגה וברורה שאינה משתמעת לשני פנים, שאין בחזקת התקינות עליה ביקשו השרים להישען, כדי ליישרה. </w:t>
      </w:r>
    </w:p>
    <w:p w:rsidR="00282F22" w:rsidRDefault="00282F22" w:rsidP="00282F22">
      <w:pPr>
        <w:pStyle w:val="Ruller4"/>
        <w:numPr>
          <w:ilvl w:val="0"/>
          <w:numId w:val="0"/>
        </w:numPr>
        <w:rPr>
          <w:rtl/>
        </w:rPr>
      </w:pPr>
    </w:p>
    <w:p w:rsidR="00282F22" w:rsidRPr="00295029" w:rsidRDefault="00282F22" w:rsidP="00282F22">
      <w:pPr>
        <w:pStyle w:val="Ruller4"/>
        <w:rPr>
          <w:rFonts w:ascii="Arial TUR" w:hAnsi="Arial TUR"/>
          <w:rtl/>
        </w:rPr>
      </w:pPr>
      <w:r>
        <w:rPr>
          <w:rFonts w:hint="cs"/>
          <w:rtl/>
        </w:rPr>
        <w:t>אוסיף כי השרים טענו כי לא מדובר ב"מסע טיהור" כי אם ב"פיטורים נקודתיים" (פסקה 103 לתגובה המקדמית). אולם גם העברה "נקודתית" של אדם מתפקידו צריכה להיעשות בהתאם להוראות הדין ולפי כללי המנהל התקין.</w:t>
      </w:r>
    </w:p>
    <w:p w:rsidR="00282F22" w:rsidRDefault="00282F22" w:rsidP="00282F22">
      <w:pPr>
        <w:pStyle w:val="Ruller41"/>
        <w:rPr>
          <w:rFonts w:ascii="Century" w:hAnsi="Century"/>
          <w:rtl/>
        </w:rPr>
      </w:pPr>
    </w:p>
    <w:p w:rsidR="00282F22" w:rsidRPr="00F617F4" w:rsidRDefault="00282F22" w:rsidP="00282F22">
      <w:pPr>
        <w:pStyle w:val="Ruller4"/>
        <w:rPr>
          <w:rtl/>
        </w:rPr>
      </w:pPr>
      <w:r w:rsidRPr="00F617F4">
        <w:rPr>
          <w:rFonts w:hint="cs"/>
          <w:rtl/>
        </w:rPr>
        <w:t xml:space="preserve">בשולי הדברים </w:t>
      </w:r>
      <w:r>
        <w:rPr>
          <w:rFonts w:hint="cs"/>
          <w:rtl/>
        </w:rPr>
        <w:t xml:space="preserve">יוער </w:t>
      </w:r>
      <w:r w:rsidRPr="00F617F4">
        <w:rPr>
          <w:rFonts w:hint="cs"/>
          <w:rtl/>
        </w:rPr>
        <w:t xml:space="preserve">כי העותרים והשרים </w:t>
      </w:r>
      <w:r w:rsidRPr="00F617F4">
        <w:rPr>
          <w:rtl/>
        </w:rPr>
        <w:t>–</w:t>
      </w:r>
      <w:r w:rsidRPr="00F617F4">
        <w:rPr>
          <w:rFonts w:hint="cs"/>
          <w:rtl/>
        </w:rPr>
        <w:t xml:space="preserve"> כל אחד מצדו </w:t>
      </w:r>
      <w:r w:rsidRPr="00F617F4">
        <w:rPr>
          <w:rtl/>
        </w:rPr>
        <w:t>–</w:t>
      </w:r>
      <w:r w:rsidRPr="00F617F4">
        <w:rPr>
          <w:rFonts w:hint="cs"/>
          <w:rtl/>
        </w:rPr>
        <w:t xml:space="preserve"> האריכו דברים באשר להתפתחויות במצבו הפיננסי של הדואר ובתפקודו </w:t>
      </w:r>
      <w:r w:rsidRPr="007B07F2">
        <w:rPr>
          <w:rFonts w:hint="eastAsia"/>
          <w:rtl/>
        </w:rPr>
        <w:t>למן</w:t>
      </w:r>
      <w:r w:rsidRPr="00F617F4">
        <w:rPr>
          <w:rFonts w:hint="cs"/>
          <w:rtl/>
        </w:rPr>
        <w:t xml:space="preserve"> כניסת העותר לתפקידו, טענות אשר נתמכו בנתונים אשר כל אחד מהצדדים מלווה אותם בהסברים שונים. העותרים אחזו בעמדה כי מצבו של הדואר השתפר לאין ערוך </w:t>
      </w:r>
      <w:r>
        <w:rPr>
          <w:rFonts w:hint="cs"/>
          <w:rtl/>
        </w:rPr>
        <w:t>מאז</w:t>
      </w:r>
      <w:r w:rsidRPr="00F617F4">
        <w:rPr>
          <w:rFonts w:hint="cs"/>
          <w:rtl/>
        </w:rPr>
        <w:t xml:space="preserve"> כניסתו של העותר לתפקיד; בעוד שלעמדת השרים מצבו של הדואר הולך ומתדרדר. אבהיר בהקשר זה כי המסקנה אליה הגע</w:t>
      </w:r>
      <w:r>
        <w:rPr>
          <w:rFonts w:hint="cs"/>
          <w:rtl/>
        </w:rPr>
        <w:t>תי</w:t>
      </w:r>
      <w:r w:rsidRPr="00F617F4">
        <w:rPr>
          <w:rFonts w:hint="cs"/>
          <w:rtl/>
        </w:rPr>
        <w:t xml:space="preserve"> לביטול החלטת השרים אין משמעותה הכרעה באיזו מטענות העותרים או השרים בהקשר זה, ואין בית המשפט נדרש לקבוע קביעות באשר למצבו של הדואר לעת הזו או תרומתו של העותר לכך. </w:t>
      </w:r>
    </w:p>
    <w:p w:rsidR="00282F22" w:rsidRDefault="00282F22" w:rsidP="00282F22">
      <w:pPr>
        <w:pStyle w:val="Ruller41"/>
        <w:rPr>
          <w:rFonts w:ascii="Century" w:hAnsi="Century"/>
          <w:rtl/>
        </w:rPr>
      </w:pPr>
    </w:p>
    <w:p w:rsidR="00282F22" w:rsidRDefault="00282F22" w:rsidP="00282F22">
      <w:pPr>
        <w:pStyle w:val="Ruller4"/>
        <w:rPr>
          <w:rtl/>
        </w:rPr>
      </w:pPr>
      <w:r>
        <w:rPr>
          <w:rFonts w:ascii="Century" w:hAnsi="Century" w:hint="cs"/>
          <w:rtl/>
        </w:rPr>
        <w:t xml:space="preserve">עוד יוער </w:t>
      </w:r>
      <w:r>
        <w:rPr>
          <w:rFonts w:hint="cs"/>
          <w:rtl/>
        </w:rPr>
        <w:t>כי השרים כלל לא טענו כי מדובר היה ב"היוועצות מאוחרת" אשר יכולה בנסיבות חריגות לשמש תחליף להיוועצות מוקדמת שלא קוימה, וזאת נוכח עמדתם כי ההיוועצות נעשתה כדת וכדין, בזמנה ובמועדה. אולם גם אם הייתי מוכן להניח בפי השרים, לטובתם, את הטענה כי די במקרה זה בקיום היוועצות מאוחרת, הרי שאין מדובר בנסיבות שבהן היה בהיוועצות מעין זו כדי לרפא את הפגם. לא רק שספק אם ריפוי הפגם בדרך של היוועצות מאוחרת רלוונטי למקרה שבו מדובר בהיוועצות סטטוטורית; אלא שבנסיבות האמורות לא ניתן לומר כי הורם הנטל ולוּ בקירוב, הרובץ לפתחו של המתייעץ ב"היוועצות מאוחרת", להראות כי מדובר היה בהתייעצות ממשית ולא למראית עין בלבד (ראו למשל:</w:t>
      </w:r>
      <w:r w:rsidRPr="00B877CD">
        <w:rPr>
          <w:rtl/>
        </w:rPr>
        <w:t xml:space="preserve"> </w:t>
      </w:r>
      <w:r>
        <w:rPr>
          <w:rFonts w:hint="cs"/>
          <w:rtl/>
        </w:rPr>
        <w:t xml:space="preserve">עניין </w:t>
      </w:r>
      <w:r w:rsidRPr="00D86B3B">
        <w:rPr>
          <w:rFonts w:ascii="Century" w:hAnsi="Century" w:cs="Miriam" w:hint="eastAsia"/>
          <w:b/>
          <w:spacing w:val="0"/>
          <w:sz w:val="22"/>
          <w:szCs w:val="24"/>
          <w:rtl/>
        </w:rPr>
        <w:t>גרמן</w:t>
      </w:r>
      <w:r>
        <w:rPr>
          <w:rFonts w:hint="cs"/>
          <w:rtl/>
        </w:rPr>
        <w:t xml:space="preserve">, פסקה 20; </w:t>
      </w:r>
      <w:r w:rsidRPr="00D86B3B">
        <w:rPr>
          <w:rFonts w:hint="eastAsia"/>
          <w:rtl/>
        </w:rPr>
        <w:t>בג</w:t>
      </w:r>
      <w:r w:rsidRPr="00D86B3B">
        <w:rPr>
          <w:rtl/>
        </w:rPr>
        <w:t>"</w:t>
      </w:r>
      <w:r w:rsidRPr="00D86B3B">
        <w:rPr>
          <w:rFonts w:hint="eastAsia"/>
          <w:rtl/>
        </w:rPr>
        <w:t>ץ</w:t>
      </w:r>
      <w:r w:rsidRPr="00D86B3B">
        <w:rPr>
          <w:rtl/>
        </w:rPr>
        <w:t xml:space="preserve"> 6644/16 </w:t>
      </w:r>
      <w:r w:rsidRPr="00D86B3B">
        <w:rPr>
          <w:rFonts w:ascii="Century" w:hAnsi="Century" w:cs="Miriam" w:hint="eastAsia"/>
          <w:b/>
          <w:spacing w:val="0"/>
          <w:sz w:val="22"/>
          <w:szCs w:val="24"/>
          <w:rtl/>
        </w:rPr>
        <w:t>התאחדות</w:t>
      </w:r>
      <w:r w:rsidRPr="00D86B3B">
        <w:rPr>
          <w:rFonts w:ascii="Century" w:hAnsi="Century" w:cs="Miriam"/>
          <w:b/>
          <w:spacing w:val="0"/>
          <w:sz w:val="22"/>
          <w:szCs w:val="24"/>
          <w:rtl/>
        </w:rPr>
        <w:t xml:space="preserve"> </w:t>
      </w:r>
      <w:r w:rsidRPr="00D86B3B">
        <w:rPr>
          <w:rFonts w:ascii="Century" w:hAnsi="Century" w:cs="Miriam" w:hint="eastAsia"/>
          <w:b/>
          <w:spacing w:val="0"/>
          <w:sz w:val="22"/>
          <w:szCs w:val="24"/>
          <w:rtl/>
        </w:rPr>
        <w:t>התעשיינים</w:t>
      </w:r>
      <w:r w:rsidRPr="00D86B3B">
        <w:rPr>
          <w:rFonts w:ascii="Century" w:hAnsi="Century" w:cs="Miriam"/>
          <w:b/>
          <w:spacing w:val="0"/>
          <w:sz w:val="22"/>
          <w:szCs w:val="24"/>
          <w:rtl/>
        </w:rPr>
        <w:t xml:space="preserve"> </w:t>
      </w:r>
      <w:r w:rsidRPr="00D86B3B">
        <w:rPr>
          <w:rFonts w:ascii="Century" w:hAnsi="Century" w:cs="Miriam" w:hint="eastAsia"/>
          <w:b/>
          <w:spacing w:val="0"/>
          <w:sz w:val="22"/>
          <w:szCs w:val="24"/>
          <w:rtl/>
        </w:rPr>
        <w:t>בישראל</w:t>
      </w:r>
      <w:r w:rsidRPr="00D86B3B">
        <w:rPr>
          <w:rFonts w:ascii="Century" w:hAnsi="Century" w:cs="Miriam"/>
          <w:b/>
          <w:spacing w:val="0"/>
          <w:sz w:val="22"/>
          <w:szCs w:val="24"/>
          <w:rtl/>
        </w:rPr>
        <w:t xml:space="preserve"> – </w:t>
      </w:r>
      <w:r w:rsidRPr="00D86B3B">
        <w:rPr>
          <w:rFonts w:ascii="Century" w:hAnsi="Century" w:cs="Miriam" w:hint="eastAsia"/>
          <w:b/>
          <w:spacing w:val="0"/>
          <w:sz w:val="22"/>
          <w:szCs w:val="24"/>
          <w:rtl/>
        </w:rPr>
        <w:t>פורום</w:t>
      </w:r>
      <w:r w:rsidRPr="00D86B3B">
        <w:rPr>
          <w:rFonts w:ascii="Century" w:hAnsi="Century" w:cs="Miriam"/>
          <w:b/>
          <w:spacing w:val="0"/>
          <w:sz w:val="22"/>
          <w:szCs w:val="24"/>
          <w:rtl/>
        </w:rPr>
        <w:t xml:space="preserve"> </w:t>
      </w:r>
      <w:r w:rsidRPr="00D86B3B">
        <w:rPr>
          <w:rFonts w:ascii="Century" w:hAnsi="Century" w:cs="Miriam" w:hint="eastAsia"/>
          <w:b/>
          <w:spacing w:val="0"/>
          <w:sz w:val="22"/>
          <w:szCs w:val="24"/>
          <w:rtl/>
        </w:rPr>
        <w:t>טחנות</w:t>
      </w:r>
      <w:r w:rsidRPr="00D86B3B">
        <w:rPr>
          <w:rFonts w:ascii="Century" w:hAnsi="Century" w:cs="Miriam"/>
          <w:b/>
          <w:spacing w:val="0"/>
          <w:sz w:val="22"/>
          <w:szCs w:val="24"/>
          <w:rtl/>
        </w:rPr>
        <w:t xml:space="preserve"> </w:t>
      </w:r>
      <w:r w:rsidRPr="00D86B3B">
        <w:rPr>
          <w:rFonts w:ascii="Century" w:hAnsi="Century" w:cs="Miriam" w:hint="eastAsia"/>
          <w:b/>
          <w:spacing w:val="0"/>
          <w:sz w:val="22"/>
          <w:szCs w:val="24"/>
          <w:rtl/>
        </w:rPr>
        <w:t>הקמח</w:t>
      </w:r>
      <w:r w:rsidRPr="00D86B3B">
        <w:rPr>
          <w:rFonts w:ascii="Century" w:hAnsi="Century" w:cs="Miriam"/>
          <w:b/>
          <w:spacing w:val="0"/>
          <w:sz w:val="22"/>
          <w:szCs w:val="24"/>
          <w:rtl/>
        </w:rPr>
        <w:t xml:space="preserve"> </w:t>
      </w:r>
      <w:r w:rsidRPr="00D86B3B">
        <w:rPr>
          <w:rFonts w:ascii="Century" w:hAnsi="Century" w:cs="Miriam" w:hint="eastAsia"/>
          <w:b/>
          <w:spacing w:val="0"/>
          <w:sz w:val="22"/>
          <w:szCs w:val="24"/>
          <w:rtl/>
        </w:rPr>
        <w:t>נ</w:t>
      </w:r>
      <w:r w:rsidRPr="00D86B3B">
        <w:rPr>
          <w:rFonts w:ascii="Century" w:hAnsi="Century" w:cs="Miriam"/>
          <w:b/>
          <w:spacing w:val="0"/>
          <w:sz w:val="22"/>
          <w:szCs w:val="24"/>
          <w:rtl/>
        </w:rPr>
        <w:t xml:space="preserve">' </w:t>
      </w:r>
      <w:r w:rsidRPr="00D86B3B">
        <w:rPr>
          <w:rFonts w:ascii="Century" w:hAnsi="Century" w:cs="Miriam" w:hint="eastAsia"/>
          <w:b/>
          <w:spacing w:val="0"/>
          <w:sz w:val="22"/>
          <w:szCs w:val="24"/>
          <w:rtl/>
        </w:rPr>
        <w:t>שר</w:t>
      </w:r>
      <w:r w:rsidRPr="00D86B3B">
        <w:rPr>
          <w:rFonts w:ascii="Century" w:hAnsi="Century" w:cs="Miriam"/>
          <w:b/>
          <w:spacing w:val="0"/>
          <w:sz w:val="22"/>
          <w:szCs w:val="24"/>
          <w:rtl/>
        </w:rPr>
        <w:t xml:space="preserve"> </w:t>
      </w:r>
      <w:r w:rsidRPr="00D86B3B">
        <w:rPr>
          <w:rFonts w:ascii="Century" w:hAnsi="Century" w:cs="Miriam" w:hint="eastAsia"/>
          <w:b/>
          <w:spacing w:val="0"/>
          <w:sz w:val="22"/>
          <w:szCs w:val="24"/>
          <w:rtl/>
        </w:rPr>
        <w:t>הכלכלה</w:t>
      </w:r>
      <w:r w:rsidRPr="00D86B3B">
        <w:rPr>
          <w:rFonts w:ascii="Century" w:hAnsi="Century" w:cs="Miriam"/>
          <w:b/>
          <w:spacing w:val="0"/>
          <w:sz w:val="22"/>
          <w:szCs w:val="24"/>
          <w:rtl/>
        </w:rPr>
        <w:t xml:space="preserve"> </w:t>
      </w:r>
      <w:r w:rsidRPr="00D86B3B">
        <w:rPr>
          <w:rFonts w:ascii="Century" w:hAnsi="Century" w:cs="Miriam" w:hint="eastAsia"/>
          <w:b/>
          <w:spacing w:val="0"/>
          <w:sz w:val="22"/>
          <w:szCs w:val="24"/>
          <w:rtl/>
        </w:rPr>
        <w:t>והתעשייה</w:t>
      </w:r>
      <w:r>
        <w:rPr>
          <w:rtl/>
        </w:rPr>
        <w:t>,</w:t>
      </w:r>
      <w:r>
        <w:rPr>
          <w:rFonts w:hint="cs"/>
          <w:rtl/>
        </w:rPr>
        <w:t xml:space="preserve"> </w:t>
      </w:r>
      <w:r w:rsidRPr="00D86B3B">
        <w:rPr>
          <w:rFonts w:hint="eastAsia"/>
          <w:rtl/>
        </w:rPr>
        <w:t>פסקה</w:t>
      </w:r>
      <w:r w:rsidRPr="00D86B3B">
        <w:rPr>
          <w:rtl/>
        </w:rPr>
        <w:t xml:space="preserve"> 44 (18.10.2017)</w:t>
      </w:r>
      <w:r>
        <w:rPr>
          <w:rFonts w:hint="cs"/>
          <w:rtl/>
        </w:rPr>
        <w:t xml:space="preserve">). הוא הדין גם לגבי הטענה, שלא נשמעה, בקשר ל"שימוע מאוחר" (ראו למשל בקשר לאפשרות כי שימוע מאוחר ירפא את הפגם שבהפרת חובת </w:t>
      </w:r>
      <w:r w:rsidRPr="00D86B3B">
        <w:rPr>
          <w:rFonts w:hint="cs"/>
          <w:rtl/>
        </w:rPr>
        <w:t>השימוע:</w:t>
      </w:r>
      <w:r w:rsidRPr="00D86B3B">
        <w:rPr>
          <w:rFonts w:hint="cs"/>
          <w:b/>
          <w:bCs/>
          <w:rtl/>
        </w:rPr>
        <w:t xml:space="preserve"> </w:t>
      </w:r>
      <w:r w:rsidRPr="00D86B3B">
        <w:rPr>
          <w:rFonts w:hint="eastAsia"/>
          <w:rtl/>
        </w:rPr>
        <w:t>בג</w:t>
      </w:r>
      <w:r w:rsidRPr="00D86B3B">
        <w:rPr>
          <w:rFonts w:hint="cs"/>
          <w:rtl/>
        </w:rPr>
        <w:t>"</w:t>
      </w:r>
      <w:r w:rsidRPr="00D86B3B">
        <w:rPr>
          <w:rFonts w:hint="eastAsia"/>
          <w:rtl/>
        </w:rPr>
        <w:t>ץ</w:t>
      </w:r>
      <w:r>
        <w:rPr>
          <w:rtl/>
        </w:rPr>
        <w:t xml:space="preserve"> 7289/11</w:t>
      </w:r>
      <w:r w:rsidRPr="00D86B3B">
        <w:rPr>
          <w:rtl/>
        </w:rPr>
        <w:t xml:space="preserve">‏ </w:t>
      </w:r>
      <w:proofErr w:type="spellStart"/>
      <w:r w:rsidRPr="00D86B3B">
        <w:rPr>
          <w:rFonts w:ascii="Century" w:hAnsi="Century" w:cs="Miriam" w:hint="eastAsia"/>
          <w:b/>
          <w:spacing w:val="0"/>
          <w:sz w:val="22"/>
          <w:szCs w:val="24"/>
          <w:rtl/>
        </w:rPr>
        <w:t>קרייזי</w:t>
      </w:r>
      <w:proofErr w:type="spellEnd"/>
      <w:r w:rsidRPr="00D86B3B">
        <w:rPr>
          <w:rFonts w:ascii="Century" w:hAnsi="Century" w:cs="Miriam"/>
          <w:b/>
          <w:spacing w:val="0"/>
          <w:sz w:val="22"/>
          <w:szCs w:val="24"/>
          <w:rtl/>
        </w:rPr>
        <w:t xml:space="preserve"> </w:t>
      </w:r>
      <w:r w:rsidRPr="00D86B3B">
        <w:rPr>
          <w:rFonts w:ascii="Century" w:hAnsi="Century" w:cs="Miriam" w:hint="eastAsia"/>
          <w:b/>
          <w:spacing w:val="0"/>
          <w:sz w:val="22"/>
          <w:szCs w:val="24"/>
          <w:rtl/>
        </w:rPr>
        <w:t>וואו</w:t>
      </w:r>
      <w:r w:rsidRPr="00D86B3B">
        <w:rPr>
          <w:rFonts w:ascii="Century" w:hAnsi="Century" w:cs="Miriam"/>
          <w:b/>
          <w:spacing w:val="0"/>
          <w:sz w:val="22"/>
          <w:szCs w:val="24"/>
          <w:rtl/>
        </w:rPr>
        <w:t xml:space="preserve"> </w:t>
      </w:r>
      <w:proofErr w:type="spellStart"/>
      <w:r w:rsidRPr="00D86B3B">
        <w:rPr>
          <w:rFonts w:ascii="Century" w:hAnsi="Century" w:cs="Miriam" w:hint="eastAsia"/>
          <w:b/>
          <w:spacing w:val="0"/>
          <w:sz w:val="22"/>
          <w:szCs w:val="24"/>
          <w:rtl/>
        </w:rPr>
        <w:t>בולז</w:t>
      </w:r>
      <w:proofErr w:type="spellEnd"/>
      <w:r w:rsidRPr="00D86B3B">
        <w:rPr>
          <w:rFonts w:ascii="Century" w:hAnsi="Century" w:cs="Miriam"/>
          <w:b/>
          <w:spacing w:val="0"/>
          <w:sz w:val="22"/>
          <w:szCs w:val="24"/>
          <w:rtl/>
        </w:rPr>
        <w:t xml:space="preserve"> </w:t>
      </w:r>
      <w:r w:rsidRPr="00D86B3B">
        <w:rPr>
          <w:rFonts w:ascii="Century" w:hAnsi="Century" w:cs="Miriam" w:hint="eastAsia"/>
          <w:b/>
          <w:spacing w:val="0"/>
          <w:sz w:val="22"/>
          <w:szCs w:val="24"/>
          <w:rtl/>
        </w:rPr>
        <w:t>בע</w:t>
      </w:r>
      <w:r w:rsidRPr="00D86B3B">
        <w:rPr>
          <w:rFonts w:ascii="Century" w:hAnsi="Century" w:cs="Miriam"/>
          <w:b/>
          <w:spacing w:val="0"/>
          <w:sz w:val="22"/>
          <w:szCs w:val="24"/>
          <w:rtl/>
        </w:rPr>
        <w:t>"</w:t>
      </w:r>
      <w:r w:rsidRPr="00D86B3B">
        <w:rPr>
          <w:rFonts w:ascii="Century" w:hAnsi="Century" w:cs="Miriam" w:hint="eastAsia"/>
          <w:b/>
          <w:spacing w:val="0"/>
          <w:sz w:val="22"/>
          <w:szCs w:val="24"/>
          <w:rtl/>
        </w:rPr>
        <w:t>מ</w:t>
      </w:r>
      <w:r w:rsidRPr="00D86B3B">
        <w:rPr>
          <w:rFonts w:ascii="Century" w:hAnsi="Century" w:cs="Miriam"/>
          <w:b/>
          <w:spacing w:val="0"/>
          <w:sz w:val="22"/>
          <w:szCs w:val="24"/>
          <w:rtl/>
        </w:rPr>
        <w:t xml:space="preserve"> </w:t>
      </w:r>
      <w:r w:rsidRPr="00D86B3B">
        <w:rPr>
          <w:rFonts w:ascii="Century" w:hAnsi="Century" w:cs="Miriam" w:hint="eastAsia"/>
          <w:b/>
          <w:spacing w:val="0"/>
          <w:sz w:val="22"/>
          <w:szCs w:val="24"/>
          <w:rtl/>
        </w:rPr>
        <w:t>נ</w:t>
      </w:r>
      <w:r w:rsidRPr="00D86B3B">
        <w:rPr>
          <w:rFonts w:ascii="Century" w:hAnsi="Century" w:cs="Miriam"/>
          <w:b/>
          <w:spacing w:val="0"/>
          <w:sz w:val="22"/>
          <w:szCs w:val="24"/>
          <w:rtl/>
        </w:rPr>
        <w:t xml:space="preserve">' </w:t>
      </w:r>
      <w:r w:rsidRPr="00D86B3B">
        <w:rPr>
          <w:rFonts w:ascii="Century" w:hAnsi="Century" w:cs="Miriam" w:hint="eastAsia"/>
          <w:b/>
          <w:spacing w:val="0"/>
          <w:sz w:val="22"/>
          <w:szCs w:val="24"/>
          <w:rtl/>
        </w:rPr>
        <w:t>שר</w:t>
      </w:r>
      <w:r w:rsidRPr="00D86B3B">
        <w:rPr>
          <w:rFonts w:ascii="Century" w:hAnsi="Century" w:cs="Miriam"/>
          <w:b/>
          <w:spacing w:val="0"/>
          <w:sz w:val="22"/>
          <w:szCs w:val="24"/>
          <w:rtl/>
        </w:rPr>
        <w:t xml:space="preserve"> </w:t>
      </w:r>
      <w:r w:rsidRPr="00D86B3B">
        <w:rPr>
          <w:rFonts w:ascii="Century" w:hAnsi="Century" w:cs="Miriam" w:hint="eastAsia"/>
          <w:b/>
          <w:spacing w:val="0"/>
          <w:sz w:val="22"/>
          <w:szCs w:val="24"/>
          <w:rtl/>
        </w:rPr>
        <w:t>התעשייה</w:t>
      </w:r>
      <w:r w:rsidRPr="00D86B3B">
        <w:rPr>
          <w:rFonts w:ascii="Century" w:hAnsi="Century" w:cs="Miriam"/>
          <w:b/>
          <w:spacing w:val="0"/>
          <w:sz w:val="22"/>
          <w:szCs w:val="24"/>
          <w:rtl/>
        </w:rPr>
        <w:t xml:space="preserve"> </w:t>
      </w:r>
      <w:r w:rsidRPr="00D86B3B">
        <w:rPr>
          <w:rFonts w:ascii="Century" w:hAnsi="Century" w:cs="Miriam" w:hint="eastAsia"/>
          <w:b/>
          <w:spacing w:val="0"/>
          <w:sz w:val="22"/>
          <w:szCs w:val="24"/>
          <w:rtl/>
        </w:rPr>
        <w:t>והמסחר</w:t>
      </w:r>
      <w:r>
        <w:rPr>
          <w:rFonts w:hint="cs"/>
          <w:rtl/>
        </w:rPr>
        <w:t xml:space="preserve">, </w:t>
      </w:r>
      <w:r w:rsidRPr="00D86B3B">
        <w:rPr>
          <w:rFonts w:hint="cs"/>
          <w:rtl/>
        </w:rPr>
        <w:t>פסקה 19 (9.5.2013)</w:t>
      </w:r>
      <w:r>
        <w:rPr>
          <w:rFonts w:hint="cs"/>
          <w:rtl/>
        </w:rPr>
        <w:t>).</w:t>
      </w:r>
    </w:p>
    <w:p w:rsidR="00282F22" w:rsidRDefault="00282F22" w:rsidP="00282F22">
      <w:pPr>
        <w:pStyle w:val="Ruller41"/>
        <w:rPr>
          <w:rtl/>
        </w:rPr>
      </w:pPr>
    </w:p>
    <w:p w:rsidR="00282F22" w:rsidRDefault="00282F22" w:rsidP="00282F22">
      <w:pPr>
        <w:pStyle w:val="Ruller41"/>
        <w:rPr>
          <w:b/>
          <w:bCs/>
          <w:u w:val="single"/>
          <w:rtl/>
        </w:rPr>
      </w:pPr>
      <w:r>
        <w:rPr>
          <w:rtl/>
        </w:rPr>
        <w:tab/>
      </w:r>
      <w:r>
        <w:rPr>
          <w:rFonts w:hint="cs"/>
          <w:rtl/>
        </w:rPr>
        <w:t>סופו של דבר, אם דעתי תישמע העתירה תתקבל, והצו על תנאי יהפוך למוחלט.</w:t>
      </w:r>
    </w:p>
    <w:p w:rsidR="00016EF1" w:rsidRDefault="00016EF1" w:rsidP="00A51FAE">
      <w:pPr>
        <w:pStyle w:val="Ruller41"/>
        <w:rPr>
          <w:rtl/>
        </w:rPr>
      </w:pPr>
    </w:p>
    <w:p w:rsidR="00433434" w:rsidRDefault="00433434" w:rsidP="00A51FAE">
      <w:pPr>
        <w:pStyle w:val="Ruller41"/>
        <w:rPr>
          <w:rtl/>
        </w:rPr>
      </w:pPr>
    </w:p>
    <w:p w:rsidR="00282F22" w:rsidRDefault="00476343" w:rsidP="00476343">
      <w:pPr>
        <w:pStyle w:val="Ruller41"/>
        <w:jc w:val="right"/>
        <w:rPr>
          <w:rtl/>
        </w:rPr>
      </w:pPr>
      <w:r>
        <w:rPr>
          <w:rFonts w:hint="cs"/>
          <w:rtl/>
        </w:rPr>
        <w:t>ש ו פ ט</w:t>
      </w:r>
    </w:p>
    <w:p w:rsidR="00476343" w:rsidRDefault="00476343" w:rsidP="00A51FAE">
      <w:pPr>
        <w:pStyle w:val="Ruller41"/>
        <w:rPr>
          <w:rtl/>
        </w:rPr>
      </w:pPr>
    </w:p>
    <w:p w:rsidR="00476343" w:rsidRDefault="00476343" w:rsidP="00A51FAE">
      <w:pPr>
        <w:pStyle w:val="Ruller41"/>
        <w:rPr>
          <w:rtl/>
        </w:rPr>
      </w:pPr>
    </w:p>
    <w:p w:rsidR="00476343" w:rsidRDefault="00476343" w:rsidP="00476343">
      <w:pPr>
        <w:pStyle w:val="BODYVERDICT"/>
        <w:rPr>
          <w:rFonts w:cs="Miriam"/>
          <w:sz w:val="24"/>
          <w:szCs w:val="24"/>
          <w:u w:val="single"/>
          <w:rtl/>
        </w:rPr>
      </w:pPr>
      <w:r>
        <w:rPr>
          <w:rFonts w:cs="Miriam"/>
          <w:sz w:val="24"/>
          <w:szCs w:val="24"/>
          <w:u w:val="single"/>
          <w:rtl/>
        </w:rPr>
        <w:t>השופט י' עמית:</w:t>
      </w:r>
    </w:p>
    <w:p w:rsidR="00476343" w:rsidRDefault="00476343" w:rsidP="00476343">
      <w:pPr>
        <w:pStyle w:val="BODYVERDICT"/>
        <w:rPr>
          <w:rFonts w:cs="Miriam"/>
          <w:sz w:val="24"/>
          <w:szCs w:val="24"/>
          <w:u w:val="single"/>
          <w:rtl/>
        </w:rPr>
      </w:pPr>
    </w:p>
    <w:p w:rsidR="00476343" w:rsidRDefault="00476343" w:rsidP="00476343">
      <w:pPr>
        <w:pStyle w:val="Ruller41"/>
        <w:rPr>
          <w:rtl/>
        </w:rPr>
      </w:pPr>
      <w:r>
        <w:rPr>
          <w:rFonts w:hint="cs"/>
          <w:rtl/>
        </w:rPr>
        <w:tab/>
        <w:t xml:space="preserve">אני מצטרף לפסק דינו של חברי, השופט </w:t>
      </w:r>
      <w:r w:rsidRPr="002E6456">
        <w:rPr>
          <w:rFonts w:ascii="Century" w:hAnsi="Century" w:cs="Miriam" w:hint="eastAsia"/>
          <w:b/>
          <w:spacing w:val="0"/>
          <w:szCs w:val="24"/>
          <w:rtl/>
        </w:rPr>
        <w:t>ד</w:t>
      </w:r>
      <w:r w:rsidRPr="002E6456">
        <w:rPr>
          <w:rFonts w:ascii="Century" w:hAnsi="Century" w:cs="Miriam"/>
          <w:b/>
          <w:spacing w:val="0"/>
          <w:szCs w:val="24"/>
          <w:rtl/>
        </w:rPr>
        <w:t xml:space="preserve">' </w:t>
      </w:r>
      <w:r w:rsidRPr="002E6456">
        <w:rPr>
          <w:rFonts w:ascii="Century" w:hAnsi="Century" w:cs="Miriam" w:hint="eastAsia"/>
          <w:b/>
          <w:spacing w:val="0"/>
          <w:szCs w:val="24"/>
          <w:rtl/>
        </w:rPr>
        <w:t>מינץ</w:t>
      </w:r>
      <w:r>
        <w:rPr>
          <w:rFonts w:hint="cs"/>
          <w:rtl/>
        </w:rPr>
        <w:t xml:space="preserve">, ואוסיף מספר הערות, תחילה בהתייחס לנסיבות המקרה שלפנינו ובהמשך במישור העקרוני. </w:t>
      </w:r>
    </w:p>
    <w:p w:rsidR="00476343" w:rsidRDefault="00476343" w:rsidP="00476343">
      <w:pPr>
        <w:pStyle w:val="Ruller41"/>
        <w:rPr>
          <w:rtl/>
        </w:rPr>
      </w:pPr>
    </w:p>
    <w:p w:rsidR="00476343" w:rsidRDefault="00476343" w:rsidP="00476343">
      <w:pPr>
        <w:pStyle w:val="Ruller41"/>
        <w:rPr>
          <w:rtl/>
        </w:rPr>
      </w:pPr>
      <w:r>
        <w:rPr>
          <w:rFonts w:hint="cs"/>
          <w:rtl/>
        </w:rPr>
        <w:lastRenderedPageBreak/>
        <w:t>1.</w:t>
      </w:r>
      <w:r>
        <w:rPr>
          <w:rFonts w:hint="cs"/>
          <w:rtl/>
        </w:rPr>
        <w:tab/>
        <w:t xml:space="preserve">הדחתו של העותר נעשתה, בין היתר, בניגוד לדעתם של החשב הכללי ושל הממונה על התקציבים במשרד האוצר; של המנכ"ל הנוכחי של הדואר; של מנהלת רשות החברות; ושל היועצת המשפטית לממשלה. </w:t>
      </w:r>
    </w:p>
    <w:p w:rsidR="00476343" w:rsidRDefault="00476343" w:rsidP="00476343">
      <w:pPr>
        <w:pStyle w:val="Ruller41"/>
        <w:rPr>
          <w:rtl/>
        </w:rPr>
      </w:pPr>
    </w:p>
    <w:p w:rsidR="00476343" w:rsidRDefault="00476343" w:rsidP="00476343">
      <w:pPr>
        <w:pStyle w:val="Ruller41"/>
        <w:rPr>
          <w:rtl/>
        </w:rPr>
      </w:pPr>
      <w:r>
        <w:rPr>
          <w:rtl/>
        </w:rPr>
        <w:tab/>
      </w:r>
      <w:r>
        <w:rPr>
          <w:rFonts w:hint="cs"/>
          <w:rtl/>
        </w:rPr>
        <w:t xml:space="preserve">בחינה ממעוף הציפור של העברת העותר מתפקידו מלמדת כי ענייננו בהדחה חריגה ביותר, בלתי סבירה באופן קיצוני, וזאת על רקע העובדות שיפורטו להלן. </w:t>
      </w:r>
    </w:p>
    <w:p w:rsidR="00476343" w:rsidRDefault="00476343" w:rsidP="00476343">
      <w:pPr>
        <w:pStyle w:val="Ruller41"/>
        <w:rPr>
          <w:rtl/>
        </w:rPr>
      </w:pPr>
    </w:p>
    <w:p w:rsidR="00476343" w:rsidRDefault="00476343" w:rsidP="002C2C96">
      <w:pPr>
        <w:pStyle w:val="Ruller41"/>
        <w:rPr>
          <w:rtl/>
        </w:rPr>
      </w:pPr>
      <w:r>
        <w:rPr>
          <w:rFonts w:hint="cs"/>
          <w:rtl/>
        </w:rPr>
        <w:t>2.</w:t>
      </w:r>
      <w:r>
        <w:rPr>
          <w:rFonts w:hint="cs"/>
          <w:rtl/>
        </w:rPr>
        <w:tab/>
      </w:r>
      <w:r w:rsidRPr="00B14BE5">
        <w:rPr>
          <w:rFonts w:ascii="Century" w:hAnsi="Century" w:cs="Miriam" w:hint="cs"/>
          <w:b/>
          <w:spacing w:val="0"/>
          <w:szCs w:val="24"/>
          <w:rtl/>
        </w:rPr>
        <w:t>א</w:t>
      </w:r>
      <w:r>
        <w:rPr>
          <w:rFonts w:hint="cs"/>
          <w:rtl/>
        </w:rPr>
        <w:t xml:space="preserve">. להודעתו של השר לעותר ביום 14.3.2023 </w:t>
      </w:r>
      <w:r w:rsidRPr="00B14BE5">
        <w:rPr>
          <w:rFonts w:ascii="Century" w:hAnsi="Century" w:cs="Miriam" w:hint="cs"/>
          <w:b/>
          <w:spacing w:val="0"/>
          <w:szCs w:val="24"/>
          <w:rtl/>
        </w:rPr>
        <w:t xml:space="preserve">לא </w:t>
      </w:r>
      <w:r>
        <w:rPr>
          <w:rFonts w:hint="cs"/>
          <w:rtl/>
        </w:rPr>
        <w:t>קדמה התייעצות עם רשות החברות הממשלתיות</w:t>
      </w:r>
      <w:r w:rsidR="002C2C96">
        <w:rPr>
          <w:rFonts w:hint="cs"/>
          <w:rtl/>
        </w:rPr>
        <w:t xml:space="preserve"> </w:t>
      </w:r>
      <w:r w:rsidR="002C2C96">
        <w:rPr>
          <w:rtl/>
        </w:rPr>
        <w:t>(עילה העומדת בפני עצמה)</w:t>
      </w:r>
      <w:bookmarkStart w:id="7" w:name="_GoBack"/>
      <w:bookmarkEnd w:id="7"/>
      <w:r>
        <w:rPr>
          <w:rFonts w:hint="cs"/>
          <w:rtl/>
        </w:rPr>
        <w:t xml:space="preserve">. </w:t>
      </w:r>
    </w:p>
    <w:p w:rsidR="00476343" w:rsidRDefault="00476343" w:rsidP="00476343">
      <w:pPr>
        <w:pStyle w:val="Ruller41"/>
        <w:rPr>
          <w:rtl/>
        </w:rPr>
      </w:pPr>
    </w:p>
    <w:p w:rsidR="00476343" w:rsidRDefault="00476343" w:rsidP="00476343">
      <w:pPr>
        <w:pStyle w:val="Ruller41"/>
        <w:rPr>
          <w:rtl/>
        </w:rPr>
      </w:pPr>
      <w:r>
        <w:rPr>
          <w:rtl/>
        </w:rPr>
        <w:tab/>
      </w:r>
      <w:r w:rsidRPr="00B14BE5">
        <w:rPr>
          <w:rFonts w:ascii="Century" w:hAnsi="Century" w:cs="Miriam" w:hint="cs"/>
          <w:b/>
          <w:spacing w:val="0"/>
          <w:szCs w:val="24"/>
          <w:rtl/>
        </w:rPr>
        <w:t>ב</w:t>
      </w:r>
      <w:r>
        <w:rPr>
          <w:rFonts w:hint="cs"/>
          <w:rtl/>
        </w:rPr>
        <w:t xml:space="preserve">. רשות החברות הממשלתיות, שעל פי חוק החברות הממשלתיות, התשל"ה-1975 (להלן: </w:t>
      </w:r>
      <w:r>
        <w:rPr>
          <w:rFonts w:ascii="Century" w:hAnsi="Century" w:cs="Miriam" w:hint="cs"/>
          <w:b/>
          <w:spacing w:val="0"/>
          <w:szCs w:val="24"/>
          <w:rtl/>
        </w:rPr>
        <w:t xml:space="preserve">חוק החברות הממשלתיות </w:t>
      </w:r>
      <w:r>
        <w:rPr>
          <w:rFonts w:hint="cs"/>
          <w:rtl/>
        </w:rPr>
        <w:t>או</w:t>
      </w:r>
      <w:r>
        <w:rPr>
          <w:rFonts w:ascii="Century" w:hAnsi="Century" w:cs="Miriam" w:hint="cs"/>
          <w:b/>
          <w:spacing w:val="0"/>
          <w:szCs w:val="24"/>
          <w:rtl/>
        </w:rPr>
        <w:t xml:space="preserve"> ה</w:t>
      </w:r>
      <w:r w:rsidRPr="002E6456">
        <w:rPr>
          <w:rFonts w:ascii="Century" w:hAnsi="Century" w:cs="Miriam" w:hint="eastAsia"/>
          <w:b/>
          <w:spacing w:val="0"/>
          <w:szCs w:val="24"/>
          <w:rtl/>
        </w:rPr>
        <w:t>חוק</w:t>
      </w:r>
      <w:r>
        <w:rPr>
          <w:rFonts w:hint="cs"/>
          <w:rtl/>
        </w:rPr>
        <w:t>) יש לה מעמד מיוחד בכל הנוגע לחברות ממשלתיות, התנגדה לכל אורך הדרך למהלך ההדחה.</w:t>
      </w:r>
    </w:p>
    <w:p w:rsidR="00476343" w:rsidRDefault="00476343" w:rsidP="00476343">
      <w:pPr>
        <w:pStyle w:val="Ruller41"/>
        <w:rPr>
          <w:rtl/>
        </w:rPr>
      </w:pPr>
    </w:p>
    <w:p w:rsidR="00476343" w:rsidRDefault="00476343" w:rsidP="00476343">
      <w:pPr>
        <w:pStyle w:val="Ruller41"/>
        <w:rPr>
          <w:rtl/>
        </w:rPr>
      </w:pPr>
      <w:r>
        <w:rPr>
          <w:rtl/>
        </w:rPr>
        <w:tab/>
      </w:r>
      <w:r w:rsidRPr="00B14BE5">
        <w:rPr>
          <w:rFonts w:ascii="Century" w:hAnsi="Century" w:cs="Miriam" w:hint="cs"/>
          <w:b/>
          <w:spacing w:val="0"/>
          <w:szCs w:val="24"/>
          <w:rtl/>
        </w:rPr>
        <w:t>ג</w:t>
      </w:r>
      <w:r>
        <w:rPr>
          <w:rFonts w:hint="cs"/>
          <w:rtl/>
        </w:rPr>
        <w:t>. ככלל, חברה ממשלתית נתונה לאחריותם של שני שרים שאחד מהם הוא שר האוצר והשני הוא השר שנקבע כאחראי לענייני החברה, כאמור בהגדרה בסעיף 1 לחוק:</w:t>
      </w:r>
    </w:p>
    <w:p w:rsidR="00476343" w:rsidRDefault="00476343" w:rsidP="00476343">
      <w:pPr>
        <w:pStyle w:val="Ruller41"/>
        <w:rPr>
          <w:rtl/>
        </w:rPr>
      </w:pPr>
    </w:p>
    <w:p w:rsidR="00476343" w:rsidRDefault="00476343" w:rsidP="00476343">
      <w:pPr>
        <w:pStyle w:val="Ruller5"/>
        <w:rPr>
          <w:rtl/>
        </w:rPr>
      </w:pPr>
      <w:r w:rsidRPr="00533EBF">
        <w:rPr>
          <w:rtl/>
        </w:rPr>
        <w:t>"</w:t>
      </w:r>
      <w:r w:rsidRPr="00533EBF">
        <w:rPr>
          <w:rFonts w:hint="eastAsia"/>
          <w:rtl/>
        </w:rPr>
        <w:t>השרים</w:t>
      </w:r>
      <w:r w:rsidRPr="00533EBF">
        <w:rPr>
          <w:rtl/>
        </w:rPr>
        <w:t xml:space="preserve">" – </w:t>
      </w:r>
      <w:r w:rsidRPr="00533EBF">
        <w:rPr>
          <w:rFonts w:hint="eastAsia"/>
          <w:rtl/>
        </w:rPr>
        <w:t>שר</w:t>
      </w:r>
      <w:r w:rsidRPr="00533EBF">
        <w:rPr>
          <w:rtl/>
        </w:rPr>
        <w:t xml:space="preserve"> </w:t>
      </w:r>
      <w:r w:rsidRPr="00533EBF">
        <w:rPr>
          <w:rFonts w:hint="eastAsia"/>
          <w:rtl/>
        </w:rPr>
        <w:t>האוצר</w:t>
      </w:r>
      <w:r w:rsidRPr="00533EBF">
        <w:rPr>
          <w:rtl/>
        </w:rPr>
        <w:t xml:space="preserve"> </w:t>
      </w:r>
      <w:r w:rsidRPr="00533EBF">
        <w:rPr>
          <w:rFonts w:hint="eastAsia"/>
          <w:rtl/>
        </w:rPr>
        <w:t>יחד</w:t>
      </w:r>
      <w:r w:rsidRPr="00533EBF">
        <w:rPr>
          <w:rtl/>
        </w:rPr>
        <w:t xml:space="preserve"> </w:t>
      </w:r>
      <w:r w:rsidRPr="00533EBF">
        <w:rPr>
          <w:rFonts w:hint="eastAsia"/>
          <w:rtl/>
        </w:rPr>
        <w:t>עם</w:t>
      </w:r>
      <w:r w:rsidRPr="00533EBF">
        <w:rPr>
          <w:rtl/>
        </w:rPr>
        <w:t xml:space="preserve"> </w:t>
      </w:r>
      <w:r w:rsidRPr="00533EBF">
        <w:rPr>
          <w:rFonts w:hint="eastAsia"/>
          <w:rtl/>
        </w:rPr>
        <w:t>השר</w:t>
      </w:r>
      <w:r w:rsidRPr="00533EBF">
        <w:rPr>
          <w:rtl/>
        </w:rPr>
        <w:t xml:space="preserve"> </w:t>
      </w:r>
      <w:r w:rsidRPr="00533EBF">
        <w:rPr>
          <w:rFonts w:hint="eastAsia"/>
          <w:rtl/>
        </w:rPr>
        <w:t>שנקבע</w:t>
      </w:r>
      <w:r w:rsidRPr="00533EBF">
        <w:rPr>
          <w:rtl/>
        </w:rPr>
        <w:t xml:space="preserve"> </w:t>
      </w:r>
      <w:r w:rsidRPr="00533EBF">
        <w:rPr>
          <w:rFonts w:hint="eastAsia"/>
          <w:rtl/>
        </w:rPr>
        <w:t>לפי</w:t>
      </w:r>
      <w:r w:rsidRPr="00533EBF">
        <w:rPr>
          <w:rtl/>
        </w:rPr>
        <w:t xml:space="preserve"> </w:t>
      </w:r>
      <w:r w:rsidRPr="00533EBF">
        <w:rPr>
          <w:rFonts w:hint="eastAsia"/>
          <w:rtl/>
        </w:rPr>
        <w:t>חוק</w:t>
      </w:r>
      <w:r w:rsidRPr="00533EBF">
        <w:rPr>
          <w:rtl/>
        </w:rPr>
        <w:t xml:space="preserve"> </w:t>
      </w:r>
      <w:r w:rsidRPr="00533EBF">
        <w:rPr>
          <w:rFonts w:hint="eastAsia"/>
          <w:rtl/>
        </w:rPr>
        <w:t>זה</w:t>
      </w:r>
      <w:r w:rsidRPr="00533EBF">
        <w:rPr>
          <w:rtl/>
        </w:rPr>
        <w:t xml:space="preserve"> </w:t>
      </w:r>
      <w:r w:rsidRPr="00533EBF">
        <w:rPr>
          <w:rFonts w:hint="eastAsia"/>
          <w:rtl/>
        </w:rPr>
        <w:t>כאחראי</w:t>
      </w:r>
      <w:r w:rsidRPr="00533EBF">
        <w:rPr>
          <w:rtl/>
        </w:rPr>
        <w:t xml:space="preserve"> </w:t>
      </w:r>
      <w:proofErr w:type="spellStart"/>
      <w:r w:rsidRPr="00533EBF">
        <w:rPr>
          <w:rFonts w:hint="eastAsia"/>
          <w:rtl/>
        </w:rPr>
        <w:t>לעניני</w:t>
      </w:r>
      <w:proofErr w:type="spellEnd"/>
      <w:r w:rsidRPr="00533EBF">
        <w:rPr>
          <w:rtl/>
        </w:rPr>
        <w:t xml:space="preserve"> </w:t>
      </w:r>
      <w:r w:rsidRPr="00533EBF">
        <w:rPr>
          <w:rFonts w:hint="eastAsia"/>
          <w:rtl/>
        </w:rPr>
        <w:t>החברה</w:t>
      </w:r>
      <w:r>
        <w:rPr>
          <w:rFonts w:hint="cs"/>
          <w:rtl/>
        </w:rPr>
        <w:t>.</w:t>
      </w:r>
      <w:r w:rsidRPr="00533EBF">
        <w:rPr>
          <w:rtl/>
        </w:rPr>
        <w:t xml:space="preserve"> </w:t>
      </w:r>
    </w:p>
    <w:p w:rsidR="00476343" w:rsidRDefault="00476343" w:rsidP="00476343">
      <w:pPr>
        <w:pStyle w:val="Ruller41"/>
        <w:rPr>
          <w:rtl/>
        </w:rPr>
      </w:pPr>
    </w:p>
    <w:p w:rsidR="00476343" w:rsidRDefault="00476343" w:rsidP="00476343">
      <w:pPr>
        <w:pStyle w:val="Ruller41"/>
        <w:rPr>
          <w:rtl/>
        </w:rPr>
      </w:pPr>
      <w:r>
        <w:rPr>
          <w:rtl/>
        </w:rPr>
        <w:tab/>
      </w:r>
      <w:r>
        <w:rPr>
          <w:rFonts w:hint="cs"/>
          <w:rtl/>
        </w:rPr>
        <w:t xml:space="preserve">סעיף 22(א)(6) לחוק, שמכוחו הוחלט להעביר את העותר מתפקידו, אף קובע במפורש כי "הרשות, או </w:t>
      </w:r>
      <w:r w:rsidRPr="002E6456">
        <w:rPr>
          <w:rFonts w:ascii="Century" w:hAnsi="Century" w:cs="Miriam" w:hint="eastAsia"/>
          <w:b/>
          <w:spacing w:val="0"/>
          <w:szCs w:val="24"/>
          <w:rtl/>
        </w:rPr>
        <w:t>השרים</w:t>
      </w:r>
      <w:r>
        <w:rPr>
          <w:rFonts w:hint="cs"/>
          <w:rtl/>
        </w:rPr>
        <w:t xml:space="preserve"> לאחר התייעצות עם הרשות", הם המוסמכים להביא לסיום כהונתו. מכאן, שלצורך הדחה של יו"ר דירקטוריון חברה ממשלתית יש צורך בהסכמה של שני שרים. שר האוצר </w:t>
      </w:r>
      <w:r w:rsidRPr="0040683C">
        <w:rPr>
          <w:rFonts w:ascii="Century" w:hAnsi="Century" w:cs="Miriam" w:hint="cs"/>
          <w:b/>
          <w:spacing w:val="0"/>
          <w:szCs w:val="24"/>
          <w:rtl/>
        </w:rPr>
        <w:t xml:space="preserve">התנגד </w:t>
      </w:r>
      <w:r>
        <w:rPr>
          <w:rFonts w:hint="cs"/>
          <w:rtl/>
        </w:rPr>
        <w:t xml:space="preserve">בשעתו למהלך שיזם שר התקשורת, וסבר כי אין מקום להחליף את העותר בעיתוי הנוכחי על סף הפרטת החברה. רק בהמשך </w:t>
      </w:r>
      <w:r>
        <w:rPr>
          <w:rtl/>
        </w:rPr>
        <w:t>–</w:t>
      </w:r>
      <w:r>
        <w:rPr>
          <w:rFonts w:hint="cs"/>
          <w:rtl/>
        </w:rPr>
        <w:t xml:space="preserve"> לאחר שעל פי החלטת הממשלה 460 מיום 19.4.2023 הועברו הסמכויות הנתונות לשר האוצר לפי חוק החברות הממשלתיות אל השר לשיתוף פעולה אזורי </w:t>
      </w:r>
      <w:r>
        <w:rPr>
          <w:rtl/>
        </w:rPr>
        <w:t>–</w:t>
      </w:r>
      <w:r>
        <w:rPr>
          <w:rFonts w:hint="cs"/>
          <w:rtl/>
        </w:rPr>
        <w:t xml:space="preserve"> הושגה הסכמה של שני השרים. </w:t>
      </w:r>
    </w:p>
    <w:p w:rsidR="00476343" w:rsidRDefault="00476343" w:rsidP="00476343">
      <w:pPr>
        <w:pStyle w:val="Ruller41"/>
        <w:rPr>
          <w:rtl/>
        </w:rPr>
      </w:pPr>
    </w:p>
    <w:p w:rsidR="00476343" w:rsidRDefault="00476343" w:rsidP="00476343">
      <w:pPr>
        <w:pStyle w:val="Ruller41"/>
        <w:rPr>
          <w:rtl/>
        </w:rPr>
      </w:pPr>
      <w:r>
        <w:rPr>
          <w:rtl/>
        </w:rPr>
        <w:tab/>
      </w:r>
      <w:r w:rsidRPr="00B14BE5">
        <w:rPr>
          <w:rFonts w:ascii="Century" w:hAnsi="Century" w:cs="Miriam" w:hint="cs"/>
          <w:b/>
          <w:spacing w:val="0"/>
          <w:szCs w:val="24"/>
          <w:rtl/>
        </w:rPr>
        <w:t>ד</w:t>
      </w:r>
      <w:r>
        <w:rPr>
          <w:rFonts w:hint="cs"/>
          <w:rtl/>
        </w:rPr>
        <w:t>. מאז חקיקת חוק החברות הממשלתיות לפני כחמישים שנה, לא נעשה שימוש בסעיף 22(א)(6) לחוק, למעט במקרה אחד שבו הייתה כוונה לעשות שימוש בסעיף אך הדירקטור פרש מתפקידו עוד קודם לכן.</w:t>
      </w:r>
      <w:r w:rsidRPr="002E6456">
        <w:rPr>
          <w:rFonts w:hint="cs"/>
          <w:rtl/>
        </w:rPr>
        <w:t xml:space="preserve"> </w:t>
      </w:r>
      <w:r>
        <w:rPr>
          <w:rFonts w:hint="cs"/>
          <w:rtl/>
        </w:rPr>
        <w:t xml:space="preserve">בניגוד לחברי, אני סבור כי יש לעובדה זו רלוונטיות לעניין פרשנות סעיף 22(א)(6), לאור המשקל שיש לייחס לפרקטיקה שעל-פיה נוהגת הרשות </w:t>
      </w:r>
      <w:proofErr w:type="spellStart"/>
      <w:r>
        <w:rPr>
          <w:rFonts w:hint="cs"/>
          <w:rtl/>
        </w:rPr>
        <w:t>המינהלית</w:t>
      </w:r>
      <w:proofErr w:type="spellEnd"/>
      <w:r>
        <w:rPr>
          <w:rFonts w:hint="cs"/>
          <w:rtl/>
        </w:rPr>
        <w:t xml:space="preserve"> המופקדת על </w:t>
      </w:r>
      <w:proofErr w:type="spellStart"/>
      <w:r>
        <w:rPr>
          <w:rFonts w:hint="cs"/>
          <w:rtl/>
        </w:rPr>
        <w:t>ישׂוּם</w:t>
      </w:r>
      <w:proofErr w:type="spellEnd"/>
      <w:r>
        <w:rPr>
          <w:rFonts w:hint="cs"/>
          <w:rtl/>
        </w:rPr>
        <w:t xml:space="preserve"> הוראות החוק המסמיך (ראו, לדוגמה, פסק דיני בע"א 3847/16 </w:t>
      </w:r>
      <w:r w:rsidRPr="00222CDF">
        <w:rPr>
          <w:rFonts w:ascii="Century" w:hAnsi="Century" w:cs="Miriam" w:hint="eastAsia"/>
          <w:b/>
          <w:spacing w:val="0"/>
          <w:szCs w:val="24"/>
          <w:rtl/>
        </w:rPr>
        <w:t>עגלי</w:t>
      </w:r>
      <w:r w:rsidRPr="00222CDF">
        <w:rPr>
          <w:rFonts w:ascii="Century" w:hAnsi="Century" w:cs="Miriam"/>
          <w:b/>
          <w:spacing w:val="0"/>
          <w:szCs w:val="24"/>
          <w:rtl/>
        </w:rPr>
        <w:t xml:space="preserve"> </w:t>
      </w:r>
      <w:r w:rsidRPr="00222CDF">
        <w:rPr>
          <w:rFonts w:ascii="Century" w:hAnsi="Century" w:cs="Miriam" w:hint="eastAsia"/>
          <w:b/>
          <w:spacing w:val="0"/>
          <w:szCs w:val="24"/>
          <w:rtl/>
        </w:rPr>
        <w:t>תל</w:t>
      </w:r>
      <w:r w:rsidRPr="00222CDF">
        <w:rPr>
          <w:rFonts w:ascii="Century" w:hAnsi="Century" w:cs="Miriam"/>
          <w:b/>
          <w:spacing w:val="0"/>
          <w:szCs w:val="24"/>
          <w:rtl/>
        </w:rPr>
        <w:t xml:space="preserve"> </w:t>
      </w:r>
      <w:r w:rsidRPr="00222CDF">
        <w:rPr>
          <w:rFonts w:ascii="Century" w:hAnsi="Century" w:cs="Miriam" w:hint="eastAsia"/>
          <w:b/>
          <w:spacing w:val="0"/>
          <w:szCs w:val="24"/>
          <w:rtl/>
        </w:rPr>
        <w:t>שווק</w:t>
      </w:r>
      <w:r w:rsidRPr="00222CDF">
        <w:rPr>
          <w:rFonts w:ascii="Century" w:hAnsi="Century" w:cs="Miriam"/>
          <w:b/>
          <w:spacing w:val="0"/>
          <w:szCs w:val="24"/>
          <w:rtl/>
        </w:rPr>
        <w:t xml:space="preserve"> </w:t>
      </w:r>
      <w:r w:rsidRPr="00222CDF">
        <w:rPr>
          <w:rFonts w:ascii="Century" w:hAnsi="Century" w:cs="Miriam" w:hint="eastAsia"/>
          <w:b/>
          <w:spacing w:val="0"/>
          <w:szCs w:val="24"/>
          <w:rtl/>
        </w:rPr>
        <w:t>בקר</w:t>
      </w:r>
      <w:r w:rsidRPr="00222CDF">
        <w:rPr>
          <w:rFonts w:ascii="Century" w:hAnsi="Century" w:cs="Miriam"/>
          <w:b/>
          <w:spacing w:val="0"/>
          <w:szCs w:val="24"/>
          <w:rtl/>
        </w:rPr>
        <w:t xml:space="preserve"> </w:t>
      </w:r>
      <w:r w:rsidRPr="00222CDF">
        <w:rPr>
          <w:rFonts w:ascii="Century" w:hAnsi="Century" w:cs="Miriam" w:hint="eastAsia"/>
          <w:b/>
          <w:spacing w:val="0"/>
          <w:szCs w:val="24"/>
          <w:rtl/>
        </w:rPr>
        <w:t>בע</w:t>
      </w:r>
      <w:r w:rsidRPr="00222CDF">
        <w:rPr>
          <w:rFonts w:ascii="Century" w:hAnsi="Century" w:cs="Miriam"/>
          <w:b/>
          <w:spacing w:val="0"/>
          <w:szCs w:val="24"/>
          <w:rtl/>
        </w:rPr>
        <w:t>"</w:t>
      </w:r>
      <w:r w:rsidRPr="00222CDF">
        <w:rPr>
          <w:rFonts w:ascii="Century" w:hAnsi="Century" w:cs="Miriam" w:hint="eastAsia"/>
          <w:b/>
          <w:spacing w:val="0"/>
          <w:szCs w:val="24"/>
          <w:rtl/>
        </w:rPr>
        <w:t>מ</w:t>
      </w:r>
      <w:r w:rsidRPr="00222CDF">
        <w:rPr>
          <w:rFonts w:ascii="Century" w:hAnsi="Century" w:cs="Miriam"/>
          <w:b/>
          <w:spacing w:val="0"/>
          <w:szCs w:val="24"/>
          <w:rtl/>
        </w:rPr>
        <w:t xml:space="preserve"> </w:t>
      </w:r>
      <w:r w:rsidRPr="00222CDF">
        <w:rPr>
          <w:rFonts w:ascii="Century" w:hAnsi="Century" w:cs="Miriam" w:hint="eastAsia"/>
          <w:b/>
          <w:spacing w:val="0"/>
          <w:szCs w:val="24"/>
          <w:rtl/>
        </w:rPr>
        <w:t>נ</w:t>
      </w:r>
      <w:r w:rsidRPr="00222CDF">
        <w:rPr>
          <w:rFonts w:ascii="Century" w:hAnsi="Century" w:cs="Miriam"/>
          <w:b/>
          <w:spacing w:val="0"/>
          <w:szCs w:val="24"/>
          <w:rtl/>
        </w:rPr>
        <w:t xml:space="preserve">' </w:t>
      </w:r>
      <w:r w:rsidRPr="00222CDF">
        <w:rPr>
          <w:rFonts w:ascii="Century" w:hAnsi="Century" w:cs="Miriam" w:hint="eastAsia"/>
          <w:b/>
          <w:spacing w:val="0"/>
          <w:szCs w:val="24"/>
          <w:rtl/>
        </w:rPr>
        <w:t>מדינת</w:t>
      </w:r>
      <w:r w:rsidRPr="00222CDF">
        <w:rPr>
          <w:rFonts w:ascii="Century" w:hAnsi="Century" w:cs="Miriam"/>
          <w:b/>
          <w:spacing w:val="0"/>
          <w:szCs w:val="24"/>
          <w:rtl/>
        </w:rPr>
        <w:t xml:space="preserve"> </w:t>
      </w:r>
      <w:r w:rsidRPr="00222CDF">
        <w:rPr>
          <w:rFonts w:ascii="Century" w:hAnsi="Century" w:cs="Miriam" w:hint="eastAsia"/>
          <w:b/>
          <w:spacing w:val="0"/>
          <w:szCs w:val="24"/>
          <w:rtl/>
        </w:rPr>
        <w:t>ישראל</w:t>
      </w:r>
      <w:r w:rsidRPr="00222CDF">
        <w:rPr>
          <w:rFonts w:ascii="Century" w:hAnsi="Century" w:cs="Miriam"/>
          <w:b/>
          <w:spacing w:val="0"/>
          <w:szCs w:val="24"/>
          <w:rtl/>
        </w:rPr>
        <w:t xml:space="preserve">, </w:t>
      </w:r>
      <w:r w:rsidRPr="00222CDF">
        <w:rPr>
          <w:rFonts w:ascii="Century" w:hAnsi="Century" w:cs="Miriam" w:hint="eastAsia"/>
          <w:b/>
          <w:spacing w:val="0"/>
          <w:szCs w:val="24"/>
          <w:rtl/>
        </w:rPr>
        <w:t>משרד</w:t>
      </w:r>
      <w:r w:rsidRPr="00222CDF">
        <w:rPr>
          <w:rFonts w:ascii="Century" w:hAnsi="Century" w:cs="Miriam"/>
          <w:b/>
          <w:spacing w:val="0"/>
          <w:szCs w:val="24"/>
          <w:rtl/>
        </w:rPr>
        <w:t xml:space="preserve"> </w:t>
      </w:r>
      <w:r w:rsidRPr="00222CDF">
        <w:rPr>
          <w:rFonts w:ascii="Century" w:hAnsi="Century" w:cs="Miriam" w:hint="eastAsia"/>
          <w:b/>
          <w:spacing w:val="0"/>
          <w:szCs w:val="24"/>
          <w:rtl/>
        </w:rPr>
        <w:t>החקלאות</w:t>
      </w:r>
      <w:r w:rsidRPr="00222CDF">
        <w:rPr>
          <w:rFonts w:ascii="Century" w:hAnsi="Century" w:cs="Miriam"/>
          <w:b/>
          <w:spacing w:val="0"/>
          <w:szCs w:val="24"/>
          <w:rtl/>
        </w:rPr>
        <w:t xml:space="preserve"> </w:t>
      </w:r>
      <w:r w:rsidRPr="00222CDF">
        <w:rPr>
          <w:rFonts w:ascii="Century" w:hAnsi="Century" w:cs="Miriam" w:hint="eastAsia"/>
          <w:b/>
          <w:spacing w:val="0"/>
          <w:szCs w:val="24"/>
          <w:rtl/>
        </w:rPr>
        <w:t>ופיתוח</w:t>
      </w:r>
      <w:r w:rsidRPr="00222CDF">
        <w:rPr>
          <w:rFonts w:ascii="Century" w:hAnsi="Century" w:cs="Miriam"/>
          <w:b/>
          <w:spacing w:val="0"/>
          <w:szCs w:val="24"/>
          <w:rtl/>
        </w:rPr>
        <w:t xml:space="preserve"> </w:t>
      </w:r>
      <w:r w:rsidRPr="00222CDF">
        <w:rPr>
          <w:rFonts w:ascii="Century" w:hAnsi="Century" w:cs="Miriam" w:hint="eastAsia"/>
          <w:b/>
          <w:spacing w:val="0"/>
          <w:szCs w:val="24"/>
          <w:rtl/>
        </w:rPr>
        <w:lastRenderedPageBreak/>
        <w:t>הכפר</w:t>
      </w:r>
      <w:r>
        <w:rPr>
          <w:rFonts w:hint="cs"/>
          <w:rtl/>
        </w:rPr>
        <w:t xml:space="preserve">, פסקה 11ג  (11.3.2018); דנ"א 4960/18 </w:t>
      </w:r>
      <w:proofErr w:type="spellStart"/>
      <w:r w:rsidRPr="00222CDF">
        <w:rPr>
          <w:rFonts w:ascii="Century" w:hAnsi="Century" w:cs="Miriam" w:hint="eastAsia"/>
          <w:b/>
          <w:spacing w:val="0"/>
          <w:szCs w:val="24"/>
          <w:rtl/>
        </w:rPr>
        <w:t>זליגמן</w:t>
      </w:r>
      <w:proofErr w:type="spellEnd"/>
      <w:r w:rsidRPr="00222CDF">
        <w:rPr>
          <w:rFonts w:ascii="Century" w:hAnsi="Century" w:cs="Miriam"/>
          <w:b/>
          <w:spacing w:val="0"/>
          <w:szCs w:val="24"/>
          <w:rtl/>
        </w:rPr>
        <w:t xml:space="preserve"> </w:t>
      </w:r>
      <w:r w:rsidRPr="00222CDF">
        <w:rPr>
          <w:rFonts w:ascii="Century" w:hAnsi="Century" w:cs="Miriam" w:hint="eastAsia"/>
          <w:b/>
          <w:spacing w:val="0"/>
          <w:szCs w:val="24"/>
          <w:rtl/>
        </w:rPr>
        <w:t>נ</w:t>
      </w:r>
      <w:r w:rsidRPr="00222CDF">
        <w:rPr>
          <w:rFonts w:ascii="Century" w:hAnsi="Century" w:cs="Miriam"/>
          <w:b/>
          <w:spacing w:val="0"/>
          <w:szCs w:val="24"/>
          <w:rtl/>
        </w:rPr>
        <w:t xml:space="preserve">' </w:t>
      </w:r>
      <w:r w:rsidRPr="00222CDF">
        <w:rPr>
          <w:rFonts w:ascii="Century" w:hAnsi="Century" w:cs="Miriam" w:hint="eastAsia"/>
          <w:b/>
          <w:spacing w:val="0"/>
          <w:szCs w:val="24"/>
          <w:rtl/>
        </w:rPr>
        <w:t>הפניקס</w:t>
      </w:r>
      <w:r w:rsidRPr="00222CDF">
        <w:rPr>
          <w:rFonts w:ascii="Century" w:hAnsi="Century" w:cs="Miriam"/>
          <w:b/>
          <w:spacing w:val="0"/>
          <w:szCs w:val="24"/>
          <w:rtl/>
        </w:rPr>
        <w:t xml:space="preserve"> </w:t>
      </w:r>
      <w:r w:rsidRPr="00222CDF">
        <w:rPr>
          <w:rFonts w:ascii="Century" w:hAnsi="Century" w:cs="Miriam" w:hint="eastAsia"/>
          <w:b/>
          <w:spacing w:val="0"/>
          <w:szCs w:val="24"/>
          <w:rtl/>
        </w:rPr>
        <w:t>חברה</w:t>
      </w:r>
      <w:r w:rsidRPr="00222CDF">
        <w:rPr>
          <w:rFonts w:ascii="Century" w:hAnsi="Century" w:cs="Miriam"/>
          <w:b/>
          <w:spacing w:val="0"/>
          <w:szCs w:val="24"/>
          <w:rtl/>
        </w:rPr>
        <w:t xml:space="preserve"> </w:t>
      </w:r>
      <w:r w:rsidRPr="00222CDF">
        <w:rPr>
          <w:rFonts w:ascii="Century" w:hAnsi="Century" w:cs="Miriam" w:hint="eastAsia"/>
          <w:b/>
          <w:spacing w:val="0"/>
          <w:szCs w:val="24"/>
          <w:rtl/>
        </w:rPr>
        <w:t>לביטוח</w:t>
      </w:r>
      <w:r w:rsidRPr="00222CDF">
        <w:rPr>
          <w:rFonts w:ascii="Century" w:hAnsi="Century" w:cs="Miriam"/>
          <w:b/>
          <w:spacing w:val="0"/>
          <w:szCs w:val="24"/>
          <w:rtl/>
        </w:rPr>
        <w:t xml:space="preserve"> </w:t>
      </w:r>
      <w:r w:rsidRPr="00222CDF">
        <w:rPr>
          <w:rFonts w:ascii="Century" w:hAnsi="Century" w:cs="Miriam" w:hint="eastAsia"/>
          <w:b/>
          <w:spacing w:val="0"/>
          <w:szCs w:val="24"/>
          <w:rtl/>
        </w:rPr>
        <w:t>בע</w:t>
      </w:r>
      <w:r w:rsidRPr="00222CDF">
        <w:rPr>
          <w:rFonts w:ascii="Century" w:hAnsi="Century" w:cs="Miriam"/>
          <w:b/>
          <w:spacing w:val="0"/>
          <w:szCs w:val="24"/>
          <w:rtl/>
        </w:rPr>
        <w:t>"</w:t>
      </w:r>
      <w:r w:rsidRPr="00222CDF">
        <w:rPr>
          <w:rFonts w:ascii="Century" w:hAnsi="Century" w:cs="Miriam" w:hint="eastAsia"/>
          <w:b/>
          <w:spacing w:val="0"/>
          <w:szCs w:val="24"/>
          <w:rtl/>
        </w:rPr>
        <w:t>מ</w:t>
      </w:r>
      <w:r w:rsidRPr="00DB6205">
        <w:rPr>
          <w:rFonts w:hint="cs"/>
          <w:rtl/>
        </w:rPr>
        <w:t xml:space="preserve">, </w:t>
      </w:r>
      <w:r w:rsidRPr="00DB6205">
        <w:rPr>
          <w:rFonts w:hint="eastAsia"/>
          <w:rtl/>
        </w:rPr>
        <w:t>פסקה</w:t>
      </w:r>
      <w:r w:rsidRPr="00DB6205">
        <w:rPr>
          <w:rtl/>
        </w:rPr>
        <w:t xml:space="preserve"> 19</w:t>
      </w:r>
      <w:r w:rsidRPr="00DB6205">
        <w:rPr>
          <w:rFonts w:hint="cs"/>
          <w:rtl/>
        </w:rPr>
        <w:t xml:space="preserve"> לחוות</w:t>
      </w:r>
      <w:r>
        <w:rPr>
          <w:rFonts w:hint="cs"/>
          <w:rtl/>
        </w:rPr>
        <w:t xml:space="preserve"> הדעת של השופטת </w:t>
      </w:r>
      <w:r w:rsidRPr="00222CDF">
        <w:rPr>
          <w:rFonts w:ascii="Century" w:hAnsi="Century" w:cs="Miriam" w:hint="eastAsia"/>
          <w:b/>
          <w:spacing w:val="0"/>
          <w:szCs w:val="24"/>
          <w:rtl/>
        </w:rPr>
        <w:t>י</w:t>
      </w:r>
      <w:r w:rsidRPr="00222CDF">
        <w:rPr>
          <w:rFonts w:ascii="Century" w:hAnsi="Century" w:cs="Miriam"/>
          <w:b/>
          <w:spacing w:val="0"/>
          <w:szCs w:val="24"/>
          <w:rtl/>
        </w:rPr>
        <w:t xml:space="preserve">' </w:t>
      </w:r>
      <w:r w:rsidRPr="00222CDF">
        <w:rPr>
          <w:rFonts w:ascii="Century" w:hAnsi="Century" w:cs="Miriam" w:hint="eastAsia"/>
          <w:b/>
          <w:spacing w:val="0"/>
          <w:szCs w:val="24"/>
          <w:rtl/>
        </w:rPr>
        <w:t>וילנר</w:t>
      </w:r>
      <w:r w:rsidRPr="005C57DF">
        <w:rPr>
          <w:rFonts w:ascii="Century" w:hAnsi="Century" w:cs="Miriam" w:hint="cs"/>
          <w:b/>
          <w:rtl/>
        </w:rPr>
        <w:t xml:space="preserve"> </w:t>
      </w:r>
      <w:r>
        <w:rPr>
          <w:rFonts w:hint="cs"/>
          <w:rtl/>
        </w:rPr>
        <w:t xml:space="preserve"> והאסמכתאות שם (4.7.2021)). הפרקטיקה של אי שימוש בסעיף 22(א)(6) לחוק מלמדת כי הצעד של העברת דירקטור מתפקידו נתפס כצעד מרחיק לכת.  </w:t>
      </w:r>
    </w:p>
    <w:p w:rsidR="00476343" w:rsidRDefault="00476343" w:rsidP="00476343">
      <w:pPr>
        <w:pStyle w:val="Ruller41"/>
        <w:rPr>
          <w:rtl/>
        </w:rPr>
      </w:pPr>
    </w:p>
    <w:p w:rsidR="00476343" w:rsidRDefault="00476343" w:rsidP="00476343">
      <w:pPr>
        <w:pStyle w:val="Ruller41"/>
        <w:rPr>
          <w:rtl/>
        </w:rPr>
      </w:pPr>
      <w:r>
        <w:rPr>
          <w:rtl/>
        </w:rPr>
        <w:tab/>
      </w:r>
      <w:r>
        <w:rPr>
          <w:rFonts w:hint="cs"/>
          <w:rtl/>
        </w:rPr>
        <w:t xml:space="preserve">עולה מאליה השאלה, מה יום מיומיים, ומה מותר העותר ממאות ואלפי הדירקטורים שכיהנו לאורך השנים בחברות הממשלתיות? אם סבר הקורא כי ענייננו ביו"ר דירקטוריון שלאורך שנים דרדר את החברה למצבה הקשה עד שאמר השר הרלוונטי "עד כאן" </w:t>
      </w:r>
      <w:r>
        <w:rPr>
          <w:rtl/>
        </w:rPr>
        <w:t>–</w:t>
      </w:r>
      <w:r>
        <w:rPr>
          <w:rFonts w:hint="cs"/>
          <w:rtl/>
        </w:rPr>
        <w:t xml:space="preserve"> אזי לא זה המצב בענייננו. העותר נכנס לתפקידו רק ביום 23.2.2022, שנה וחודש בלבד בטרם נמסרה ההודעה בחודש מרץ 2023 על הכוונה להדיחו. ההתדרדרות ברמת השירות לציבור ובמצב הפיננסי של חברת הדואר, לא החלה עם כניסתו של העותר לתפקיד. נהפוך הוא, העותר נכנס לתפקידו במיוחד על מנת להחזיר את דואר ישראל למסלול השיקום לקראת ההפרטה. </w:t>
      </w:r>
    </w:p>
    <w:p w:rsidR="00476343" w:rsidRDefault="00476343" w:rsidP="00476343">
      <w:pPr>
        <w:pStyle w:val="Ruller41"/>
        <w:rPr>
          <w:rtl/>
        </w:rPr>
      </w:pPr>
    </w:p>
    <w:p w:rsidR="00476343" w:rsidRDefault="00476343" w:rsidP="00476343">
      <w:pPr>
        <w:pStyle w:val="Ruller41"/>
        <w:rPr>
          <w:rtl/>
        </w:rPr>
      </w:pPr>
      <w:r>
        <w:rPr>
          <w:rtl/>
        </w:rPr>
        <w:tab/>
      </w:r>
      <w:r>
        <w:rPr>
          <w:rFonts w:hint="cs"/>
          <w:rtl/>
        </w:rPr>
        <w:t xml:space="preserve">ואם סבר הקורא כי הסיבה לצעד הדרמטי, שבוצע לראשונה כחמישים שנה לאחר חקיקת החוק, נובע מכך שבפרק הזמן הקצר של כשנה בכהונה הספיק העותר לקחת חברה מצליחה ולהוריד אותה </w:t>
      </w:r>
      <w:proofErr w:type="spellStart"/>
      <w:r>
        <w:rPr>
          <w:rFonts w:hint="cs"/>
          <w:rtl/>
        </w:rPr>
        <w:t>לבירא</w:t>
      </w:r>
      <w:proofErr w:type="spellEnd"/>
      <w:r>
        <w:rPr>
          <w:rFonts w:hint="cs"/>
          <w:rtl/>
        </w:rPr>
        <w:t xml:space="preserve"> </w:t>
      </w:r>
      <w:proofErr w:type="spellStart"/>
      <w:r>
        <w:rPr>
          <w:rFonts w:hint="cs"/>
          <w:rtl/>
        </w:rPr>
        <w:t>עמיקתא</w:t>
      </w:r>
      <w:proofErr w:type="spellEnd"/>
      <w:r>
        <w:rPr>
          <w:rFonts w:hint="cs"/>
          <w:rtl/>
        </w:rPr>
        <w:t xml:space="preserve"> </w:t>
      </w:r>
      <w:r>
        <w:rPr>
          <w:rtl/>
        </w:rPr>
        <w:t>–</w:t>
      </w:r>
      <w:r>
        <w:rPr>
          <w:rFonts w:hint="cs"/>
          <w:rtl/>
        </w:rPr>
        <w:t xml:space="preserve"> הרי שהנתונים האובייקטיביים מלמדים ההיפך. לאחר כניסתו של העותר לתפקיד נמחקה הערת "עסק חי", והוא הצליח תוך זמן קצר להגיע להסכם הבראה עם העובדים, מה שלא עלה בידי קודמיו (קדמו להסכם זה הסכם הבראה משנת 2015 והסכם התייעלות נוסף בשנת 2020 אך ללא הועיל). </w:t>
      </w:r>
    </w:p>
    <w:p w:rsidR="00476343" w:rsidRDefault="00476343" w:rsidP="00476343">
      <w:pPr>
        <w:pStyle w:val="Ruller41"/>
        <w:rPr>
          <w:rtl/>
        </w:rPr>
      </w:pPr>
    </w:p>
    <w:p w:rsidR="00476343" w:rsidRDefault="00476343" w:rsidP="00476343">
      <w:pPr>
        <w:pStyle w:val="Ruller41"/>
        <w:rPr>
          <w:rtl/>
        </w:rPr>
      </w:pPr>
      <w:r>
        <w:rPr>
          <w:rtl/>
        </w:rPr>
        <w:tab/>
      </w:r>
      <w:r w:rsidRPr="00C41675">
        <w:rPr>
          <w:rFonts w:ascii="Century" w:hAnsi="Century" w:cs="Miriam" w:hint="cs"/>
          <w:b/>
          <w:spacing w:val="0"/>
          <w:szCs w:val="24"/>
          <w:rtl/>
        </w:rPr>
        <w:t>ה</w:t>
      </w:r>
      <w:r>
        <w:rPr>
          <w:rFonts w:hint="cs"/>
          <w:rtl/>
        </w:rPr>
        <w:t xml:space="preserve">. המחוקק מגלה רגישות מיוחדת לפגיעה אפשרית בהליכי הפרטה של חברה ממשלתית, ועל כך ניתן ללמוד מהוראת סעיף 22(א)(7) לחוק, הקובעת כי ניתן להפסיק כהונתו של דירקטור אם: </w:t>
      </w:r>
    </w:p>
    <w:p w:rsidR="00476343" w:rsidRPr="004C557B" w:rsidRDefault="00476343" w:rsidP="00476343">
      <w:pPr>
        <w:pStyle w:val="Ruller41"/>
        <w:rPr>
          <w:rFonts w:ascii="Century" w:hAnsi="Century"/>
          <w:rtl/>
        </w:rPr>
      </w:pPr>
    </w:p>
    <w:p w:rsidR="00476343" w:rsidRPr="004C557B" w:rsidRDefault="00476343" w:rsidP="00476343">
      <w:pPr>
        <w:pStyle w:val="Ruller5"/>
        <w:rPr>
          <w:rFonts w:ascii="Century" w:hAnsi="Century"/>
          <w:rtl/>
        </w:rPr>
      </w:pPr>
      <w:r>
        <w:rPr>
          <w:rFonts w:ascii="Century" w:hAnsi="Century" w:hint="cs"/>
          <w:shd w:val="clear" w:color="auto" w:fill="FFFFFF"/>
          <w:rtl/>
        </w:rPr>
        <w:t>"</w:t>
      </w:r>
      <w:r w:rsidRPr="004C557B">
        <w:rPr>
          <w:rFonts w:ascii="Century" w:hAnsi="Century"/>
          <w:shd w:val="clear" w:color="auto" w:fill="FFFFFF"/>
          <w:rtl/>
        </w:rPr>
        <w:t>הרשות קבעה כי הוא אינו ממלא את תפקידו באופן המקדם את ביצועה של החלטת הפרטה, או פעל במעשה או במחדל בדרך הפוגעת ביכולת החברה לקיים הוראה או דרישה שניתנו כדין לפי סעיפים 59ד או 59ה; הרשות תודיע על כך לשר האוצר ולחברה</w:t>
      </w:r>
      <w:r>
        <w:rPr>
          <w:rFonts w:ascii="Century" w:hAnsi="Century" w:hint="cs"/>
          <w:rtl/>
        </w:rPr>
        <w:t>".</w:t>
      </w:r>
    </w:p>
    <w:p w:rsidR="00476343" w:rsidRDefault="00476343" w:rsidP="00476343">
      <w:pPr>
        <w:pStyle w:val="Ruller41"/>
        <w:rPr>
          <w:rtl/>
        </w:rPr>
      </w:pPr>
    </w:p>
    <w:p w:rsidR="00476343" w:rsidRDefault="00476343" w:rsidP="00476343">
      <w:pPr>
        <w:pStyle w:val="Ruller41"/>
        <w:rPr>
          <w:rtl/>
        </w:rPr>
      </w:pPr>
      <w:r>
        <w:rPr>
          <w:rtl/>
        </w:rPr>
        <w:tab/>
      </w:r>
      <w:r>
        <w:rPr>
          <w:rFonts w:hint="cs"/>
          <w:rtl/>
        </w:rPr>
        <w:t xml:space="preserve">הסמכות על פי סעיף זה, נתונה רק לרשות החברות הממשלתיות ולא לשרים. מקום שבו החברה פועלת לדעת רשות החברות דווקא </w:t>
      </w:r>
      <w:r w:rsidRPr="00227FBF">
        <w:rPr>
          <w:rFonts w:ascii="Century" w:hAnsi="Century" w:cs="Miriam" w:hint="cs"/>
          <w:b/>
          <w:spacing w:val="0"/>
          <w:szCs w:val="24"/>
          <w:rtl/>
        </w:rPr>
        <w:t>לקידום</w:t>
      </w:r>
      <w:r>
        <w:rPr>
          <w:rFonts w:hint="cs"/>
          <w:rtl/>
        </w:rPr>
        <w:t xml:space="preserve"> הליכי הפרטה, אזי יש לקרוא את הוראת סעיף 22(א)(6) לחוק תוך הפניית מבט גם אל הוראת </w:t>
      </w:r>
      <w:proofErr w:type="spellStart"/>
      <w:r>
        <w:rPr>
          <w:rFonts w:hint="cs"/>
          <w:rtl/>
        </w:rPr>
        <w:t>ס"ק</w:t>
      </w:r>
      <w:proofErr w:type="spellEnd"/>
      <w:r>
        <w:rPr>
          <w:rFonts w:hint="cs"/>
          <w:rtl/>
        </w:rPr>
        <w:t xml:space="preserve"> (7). לאמור, במקרה של הפרטה, יש משקל רב עוד יותר לעמדתה של רשות החברות, ויש לדקדק עוד </w:t>
      </w:r>
      <w:r>
        <w:rPr>
          <w:rFonts w:hint="cs"/>
          <w:rtl/>
        </w:rPr>
        <w:lastRenderedPageBreak/>
        <w:t xml:space="preserve">יותר בהפעלת הסמכות החריגה, כשלעצמה, להעברת דירקטור מתפקידו בשל תפקוד "לא ראוי", ועל אחת כמה וכמה כאשר מדובר ביו"ר דירקטוריון. </w:t>
      </w:r>
    </w:p>
    <w:p w:rsidR="00476343" w:rsidRDefault="00476343" w:rsidP="00476343">
      <w:pPr>
        <w:pStyle w:val="Ruller41"/>
        <w:rPr>
          <w:rtl/>
        </w:rPr>
      </w:pPr>
    </w:p>
    <w:p w:rsidR="00476343" w:rsidRDefault="00476343" w:rsidP="00476343">
      <w:pPr>
        <w:pStyle w:val="Ruller41"/>
        <w:rPr>
          <w:rtl/>
        </w:rPr>
      </w:pPr>
      <w:r>
        <w:rPr>
          <w:rtl/>
        </w:rPr>
        <w:tab/>
      </w:r>
      <w:r>
        <w:rPr>
          <w:rFonts w:hint="cs"/>
          <w:rtl/>
        </w:rPr>
        <w:t xml:space="preserve">לא כך נעשה במקרה שלפנינו, שהשרים דחו, שמא התעלמו מעמדת רשות החברות, וכפי שהראה חברי, לא הניחו תשתית מבוססת לצורך הדוחק בהעברת העותר מתפקידו. </w:t>
      </w:r>
    </w:p>
    <w:p w:rsidR="00476343" w:rsidRDefault="00476343" w:rsidP="00476343">
      <w:pPr>
        <w:pStyle w:val="Ruller41"/>
        <w:rPr>
          <w:rtl/>
        </w:rPr>
      </w:pPr>
    </w:p>
    <w:p w:rsidR="00476343" w:rsidRDefault="00476343" w:rsidP="00476343">
      <w:pPr>
        <w:pStyle w:val="Ruller41"/>
        <w:rPr>
          <w:rtl/>
        </w:rPr>
      </w:pPr>
      <w:r>
        <w:rPr>
          <w:rtl/>
        </w:rPr>
        <w:tab/>
      </w:r>
      <w:r w:rsidRPr="00C41675">
        <w:rPr>
          <w:rFonts w:ascii="Century" w:hAnsi="Century" w:cs="Miriam" w:hint="cs"/>
          <w:b/>
          <w:spacing w:val="0"/>
          <w:szCs w:val="24"/>
          <w:rtl/>
        </w:rPr>
        <w:t>ו</w:t>
      </w:r>
      <w:r>
        <w:rPr>
          <w:rFonts w:hint="cs"/>
          <w:rtl/>
        </w:rPr>
        <w:t xml:space="preserve">. הדחת העותר נעשתה בעיתוי רגיש ביותר, שעה שהדואר עמד </w:t>
      </w:r>
      <w:proofErr w:type="spellStart"/>
      <w:r>
        <w:rPr>
          <w:rFonts w:hint="cs"/>
          <w:rtl/>
        </w:rPr>
        <w:t>ביישורת</w:t>
      </w:r>
      <w:proofErr w:type="spellEnd"/>
      <w:r>
        <w:rPr>
          <w:rFonts w:hint="cs"/>
          <w:rtl/>
        </w:rPr>
        <w:t xml:space="preserve"> האחרונה לפני </w:t>
      </w:r>
      <w:proofErr w:type="spellStart"/>
      <w:r>
        <w:rPr>
          <w:rFonts w:hint="cs"/>
          <w:rtl/>
        </w:rPr>
        <w:t>הפרטתו</w:t>
      </w:r>
      <w:proofErr w:type="spellEnd"/>
      <w:r>
        <w:rPr>
          <w:rFonts w:hint="cs"/>
          <w:rtl/>
        </w:rPr>
        <w:t xml:space="preserve">. העותר קיבל את מכתב ההודעה על הדחתו בחודש יולי 2023, כאשר בחודש זה פורסם נוהל המכירה, המועד להגשת ההצעות נקבע ליום 12.9.2023 ועד סוף הרבעון הראשון של 2024 היה אמור להיבחר מציע מועדף (מכרזי ההפרטה נדחו לבסוף במספר חודשים בעקבות המלחמה שפרצה בשבעה באוקטובר 2023). </w:t>
      </w:r>
    </w:p>
    <w:p w:rsidR="00476343" w:rsidRDefault="00476343" w:rsidP="00476343">
      <w:pPr>
        <w:pStyle w:val="Ruller41"/>
        <w:rPr>
          <w:rtl/>
        </w:rPr>
      </w:pPr>
    </w:p>
    <w:p w:rsidR="00476343" w:rsidRDefault="00476343" w:rsidP="00476343">
      <w:pPr>
        <w:pStyle w:val="Ruller41"/>
        <w:rPr>
          <w:rtl/>
        </w:rPr>
      </w:pPr>
      <w:r>
        <w:rPr>
          <w:rtl/>
        </w:rPr>
        <w:tab/>
      </w:r>
      <w:r>
        <w:rPr>
          <w:rFonts w:hint="cs"/>
          <w:rtl/>
        </w:rPr>
        <w:t xml:space="preserve">יו"ר דירקטוריון, שמכיר את המהלכים שבוצעו מאז כניסתו לתפקיד, מאפשר להציג את החברה באופן אופטימלי למשקיעים הפוטנציאליים תוך השאת התמורה למדינה. הדחת יו"ר דירקטוריון בעיצומו של הליך הפרטה מלאה, מרחק מספר חודשים מקו הסיום של הליך שעמלו עליו שנים רבות, עלולה מטבע הדברים לפגוע בהליכי ההפרטה. הדברים נכונים במיוחד בענייננו, לאחר שמנכ"ל הדואר הבהיר כי אם העותר יודח על ידי השרים, אף הוא ילך בעקבותיו ויתפטר מתפקידו. לא בכדי, שר האוצר </w:t>
      </w:r>
      <w:r>
        <w:rPr>
          <w:rtl/>
        </w:rPr>
        <w:t>–</w:t>
      </w:r>
      <w:r>
        <w:rPr>
          <w:rFonts w:hint="cs"/>
          <w:rtl/>
        </w:rPr>
        <w:t xml:space="preserve"> טרם העברת סמכויותיו לשר לפיתוח אזורי </w:t>
      </w:r>
      <w:r>
        <w:rPr>
          <w:rtl/>
        </w:rPr>
        <w:t>–</w:t>
      </w:r>
      <w:r>
        <w:rPr>
          <w:rFonts w:hint="cs"/>
          <w:rtl/>
        </w:rPr>
        <w:t xml:space="preserve"> התנגד להדחתו של העותר בציינו כי "</w:t>
      </w:r>
      <w:r w:rsidRPr="0040683C">
        <w:rPr>
          <w:rFonts w:ascii="Century" w:hAnsi="Century" w:cs="Miriam" w:hint="cs"/>
          <w:b/>
          <w:spacing w:val="0"/>
          <w:szCs w:val="24"/>
          <w:rtl/>
        </w:rPr>
        <w:t>בעיתוי הנוכחי בו מצויים ההליכים להפרטת החברה, לא יהיה זה נכון להחליף בעלי תפקידים בכירים בה</w:t>
      </w:r>
      <w:r>
        <w:rPr>
          <w:rFonts w:hint="cs"/>
          <w:rtl/>
        </w:rPr>
        <w:t xml:space="preserve">". ובמכתב רשות החברות מיום 18.6.2023 נאמר כי "צו השעה מחייב התקדמות מהירה וממשית ליישום הפרטת הדואר [...] יש לפעול יחדיו לקידום הליכי ההפרטה ולהניח למחלוקת בין הצדדים, על מנת שנוכל בשבועות הקרובים לפעול לפרסום הליך מכירת הדואר, להבאת משקיעים ולסיום מוצלח של הליך ההפרטה, לטובת הציבור במדינת ישראל". </w:t>
      </w:r>
    </w:p>
    <w:p w:rsidR="00476343" w:rsidRDefault="00476343" w:rsidP="00476343">
      <w:pPr>
        <w:pStyle w:val="Ruller41"/>
        <w:rPr>
          <w:rtl/>
        </w:rPr>
      </w:pPr>
    </w:p>
    <w:p w:rsidR="00476343" w:rsidRDefault="00476343" w:rsidP="00476343">
      <w:pPr>
        <w:pStyle w:val="Ruller41"/>
        <w:rPr>
          <w:rtl/>
        </w:rPr>
      </w:pPr>
      <w:r>
        <w:rPr>
          <w:rtl/>
        </w:rPr>
        <w:tab/>
      </w:r>
      <w:r>
        <w:rPr>
          <w:rFonts w:hint="cs"/>
          <w:rtl/>
        </w:rPr>
        <w:t xml:space="preserve">מכאן, שהדחת העותר הייתה עלולה לחבל, ושמא אף חיבלה, בעצם הליכי ההפרטה או שהייתה עלולה לגרום, ושמא אף גרמה, לכך שלא יתקבל המחיר המכסימלי האפשרי במסגרת ההפרטה. </w:t>
      </w:r>
    </w:p>
    <w:p w:rsidR="00476343" w:rsidRDefault="00476343" w:rsidP="00476343">
      <w:pPr>
        <w:pStyle w:val="Ruller41"/>
        <w:rPr>
          <w:rtl/>
        </w:rPr>
      </w:pPr>
    </w:p>
    <w:p w:rsidR="00476343" w:rsidRDefault="00476343" w:rsidP="00476343">
      <w:pPr>
        <w:pStyle w:val="Ruller41"/>
        <w:rPr>
          <w:rtl/>
        </w:rPr>
      </w:pPr>
      <w:r>
        <w:rPr>
          <w:rtl/>
        </w:rPr>
        <w:tab/>
      </w:r>
      <w:r>
        <w:rPr>
          <w:rFonts w:hint="cs"/>
          <w:rtl/>
        </w:rPr>
        <w:t xml:space="preserve">לנוכח העובדה שביני לביני התקבלו 11 פניות של מתעניינים ברכישת חברת הדואר, והשלמת תהליך המכירה והכרזה על הזוכה צפויה להיות בחודש יוני שנה זו, שאלתי את באי כוח השרים בדיון שהתקיים בפנינו (דיון שמועדו הוקדם במיוחד לבקשת </w:t>
      </w:r>
      <w:r>
        <w:rPr>
          <w:rFonts w:hint="cs"/>
          <w:rtl/>
        </w:rPr>
        <w:lastRenderedPageBreak/>
        <w:t xml:space="preserve">השרים), מה ההיגיון המעשי בהדחת העותר בשלב זה. לא קיבלתי תשובה לשאלה זו. צר לי לקבוע כי הדחת העותר סמוך כל כך להשלמת הליכי ההפרטה היא פעולה בלתי הגיונית, שמא אף מנוגדת להחלטת הממשלה על העברת הסמכויות לשר לשיתוף פעולה אזורי, באשר בהחלטה נאמר "יודגש כי לא ייעשה שינוי בהרכב ועדת השרים לענייני הפרטה הקבוע לעיל </w:t>
      </w:r>
      <w:r w:rsidRPr="00A0741F">
        <w:rPr>
          <w:rFonts w:ascii="Century" w:hAnsi="Century" w:cs="Miriam" w:hint="cs"/>
          <w:b/>
          <w:spacing w:val="0"/>
          <w:szCs w:val="24"/>
          <w:rtl/>
        </w:rPr>
        <w:t>והליכי הפרטה שאושרו לא ייפגעו</w:t>
      </w:r>
      <w:r>
        <w:rPr>
          <w:rFonts w:hint="cs"/>
          <w:rtl/>
        </w:rPr>
        <w:t xml:space="preserve">" (הדגשה הוספה </w:t>
      </w:r>
      <w:r>
        <w:rPr>
          <w:rtl/>
        </w:rPr>
        <w:t>–</w:t>
      </w:r>
      <w:r>
        <w:rPr>
          <w:rFonts w:hint="cs"/>
          <w:rtl/>
        </w:rPr>
        <w:t xml:space="preserve"> </w:t>
      </w:r>
      <w:proofErr w:type="spellStart"/>
      <w:r>
        <w:rPr>
          <w:rFonts w:hint="cs"/>
          <w:rtl/>
        </w:rPr>
        <w:t>י"ע</w:t>
      </w:r>
      <w:proofErr w:type="spellEnd"/>
      <w:r>
        <w:rPr>
          <w:rFonts w:hint="cs"/>
          <w:rtl/>
        </w:rPr>
        <w:t>).</w:t>
      </w:r>
    </w:p>
    <w:p w:rsidR="00476343" w:rsidRDefault="00476343" w:rsidP="00476343">
      <w:pPr>
        <w:pStyle w:val="Ruller41"/>
        <w:rPr>
          <w:rtl/>
        </w:rPr>
      </w:pPr>
    </w:p>
    <w:p w:rsidR="00476343" w:rsidRDefault="00476343" w:rsidP="00476343">
      <w:pPr>
        <w:pStyle w:val="Ruller41"/>
        <w:rPr>
          <w:rFonts w:ascii="Century" w:hAnsi="Century"/>
          <w:shd w:val="clear" w:color="auto" w:fill="FFFFFF"/>
          <w:rtl/>
        </w:rPr>
      </w:pPr>
      <w:r>
        <w:rPr>
          <w:rFonts w:hint="cs"/>
          <w:rtl/>
        </w:rPr>
        <w:t>3.</w:t>
      </w:r>
      <w:r>
        <w:rPr>
          <w:rFonts w:hint="cs"/>
          <w:rtl/>
        </w:rPr>
        <w:tab/>
        <w:t xml:space="preserve">על רקע האמור לעיל, קשה שלא להביע תמיהה הכיצד ננקטה </w:t>
      </w:r>
      <w:r w:rsidRPr="00E92EF4">
        <w:rPr>
          <w:rFonts w:ascii="Century" w:hAnsi="Century" w:cs="Miriam" w:hint="cs"/>
          <w:b/>
          <w:spacing w:val="0"/>
          <w:szCs w:val="24"/>
          <w:rtl/>
        </w:rPr>
        <w:t>לראשונה</w:t>
      </w:r>
      <w:r>
        <w:rPr>
          <w:rFonts w:hint="cs"/>
          <w:rtl/>
        </w:rPr>
        <w:t xml:space="preserve"> בתולדות החוק סנקציה של הדחת יו"ר דירקטוריון מכהן, </w:t>
      </w:r>
      <w:r w:rsidRPr="0098479C">
        <w:rPr>
          <w:rFonts w:ascii="Century" w:hAnsi="Century" w:cs="Miriam" w:hint="cs"/>
          <w:b/>
          <w:spacing w:val="0"/>
          <w:szCs w:val="24"/>
          <w:rtl/>
        </w:rPr>
        <w:t>כצעד ראשון</w:t>
      </w:r>
      <w:r>
        <w:rPr>
          <w:rFonts w:hint="cs"/>
          <w:rtl/>
        </w:rPr>
        <w:t>, מבלי שננקטו לפני כן צעדים מתונים יותר ומבלי שמוצו אמצעים אחרים. כך, לדוגמה, על פי סעיף 26(ב) לחוק, הדירקטוריון חייב להתכנס ולקיים ישיבה מיוחדת על פי דרישת השרים, על מנת לדון "</w:t>
      </w:r>
      <w:proofErr w:type="spellStart"/>
      <w:r w:rsidRPr="0098479C">
        <w:rPr>
          <w:rtl/>
        </w:rPr>
        <w:t>בענינים</w:t>
      </w:r>
      <w:proofErr w:type="spellEnd"/>
      <w:r w:rsidRPr="0098479C">
        <w:rPr>
          <w:rtl/>
        </w:rPr>
        <w:t xml:space="preserve"> המפורטים בדרישה והחלטותיה יובאו מיד לידיעת השרים והרשו</w:t>
      </w:r>
      <w:r>
        <w:rPr>
          <w:rFonts w:hint="cs"/>
          <w:rtl/>
        </w:rPr>
        <w:t>ת", ועל הדירקטוריון חובה "</w:t>
      </w:r>
      <w:r w:rsidRPr="0098479C">
        <w:rPr>
          <w:rFonts w:ascii="Century" w:hAnsi="Century"/>
          <w:shd w:val="clear" w:color="auto" w:fill="FFFFFF"/>
          <w:rtl/>
        </w:rPr>
        <w:t>לדון בכל ענין שהשרים או הרשות דרשו להעמיד על סדר היום</w:t>
      </w:r>
      <w:r>
        <w:rPr>
          <w:rFonts w:ascii="Century" w:hAnsi="Century" w:hint="cs"/>
          <w:shd w:val="clear" w:color="auto" w:fill="FFFFFF"/>
          <w:rtl/>
        </w:rPr>
        <w:t xml:space="preserve">" כאמור בסעיף 32(א)(8) לחוק. על פי סעיף 25 לחוק, יו"ר הדירקטוריון חייב </w:t>
      </w:r>
      <w:r w:rsidRPr="0098479C">
        <w:rPr>
          <w:rFonts w:ascii="Century" w:hAnsi="Century"/>
          <w:shd w:val="clear" w:color="auto" w:fill="FFFFFF"/>
          <w:rtl/>
        </w:rPr>
        <w:t>למסור לשרים בכל עת לפי דרישת</w:t>
      </w:r>
      <w:r>
        <w:rPr>
          <w:rFonts w:ascii="Century" w:hAnsi="Century" w:hint="cs"/>
          <w:shd w:val="clear" w:color="auto" w:fill="FFFFFF"/>
          <w:rtl/>
        </w:rPr>
        <w:t>ם</w:t>
      </w:r>
      <w:r w:rsidRPr="0098479C">
        <w:rPr>
          <w:rFonts w:ascii="Century" w:hAnsi="Century"/>
          <w:shd w:val="clear" w:color="auto" w:fill="FFFFFF"/>
          <w:rtl/>
        </w:rPr>
        <w:t xml:space="preserve"> </w:t>
      </w:r>
      <w:r>
        <w:rPr>
          <w:rFonts w:ascii="Century" w:hAnsi="Century" w:hint="cs"/>
          <w:shd w:val="clear" w:color="auto" w:fill="FFFFFF"/>
          <w:rtl/>
        </w:rPr>
        <w:t>"</w:t>
      </w:r>
      <w:r w:rsidRPr="0098479C">
        <w:rPr>
          <w:rFonts w:ascii="Century" w:hAnsi="Century"/>
          <w:shd w:val="clear" w:color="auto" w:fill="FFFFFF"/>
          <w:rtl/>
        </w:rPr>
        <w:t>דין וחשבון בכתב על פעולות החברה ועל עבודת הדירקטוריון</w:t>
      </w:r>
      <w:r>
        <w:rPr>
          <w:rFonts w:ascii="Century" w:hAnsi="Century" w:hint="cs"/>
          <w:shd w:val="clear" w:color="auto" w:fill="FFFFFF"/>
          <w:rtl/>
        </w:rPr>
        <w:t xml:space="preserve">". מכאן שעומדים לרשות השרים כלים להעביר לתשומת לב הדירקטוריון נושאים שאינם לשביעות רצונם, על מנת לאפשר לדירקטוריון לשנות דרכיו או להיערך לביצוע מהלכים כאלה ואחרים. </w:t>
      </w:r>
    </w:p>
    <w:p w:rsidR="00476343" w:rsidRDefault="00476343" w:rsidP="00476343">
      <w:pPr>
        <w:pStyle w:val="Ruller41"/>
        <w:rPr>
          <w:rFonts w:ascii="Century" w:hAnsi="Century"/>
          <w:shd w:val="clear" w:color="auto" w:fill="FFFFFF"/>
          <w:rtl/>
        </w:rPr>
      </w:pPr>
    </w:p>
    <w:p w:rsidR="00476343" w:rsidRDefault="00476343" w:rsidP="00476343">
      <w:pPr>
        <w:pStyle w:val="Ruller41"/>
        <w:rPr>
          <w:rtl/>
        </w:rPr>
      </w:pPr>
      <w:r>
        <w:rPr>
          <w:rFonts w:ascii="Century" w:hAnsi="Century"/>
          <w:shd w:val="clear" w:color="auto" w:fill="FFFFFF"/>
          <w:rtl/>
        </w:rPr>
        <w:tab/>
      </w:r>
      <w:r>
        <w:rPr>
          <w:rFonts w:hint="cs"/>
          <w:rtl/>
        </w:rPr>
        <w:t xml:space="preserve">אם הוטרד שר התקשורת מסגירת סניף זה או אחר לנוכח תלונות שהגיעו אליו מראשי רשויות מקומיות, אזי נתונה לו הסמכות לערוך שינויים ברישיון שניתן לחברה לספק שירותי דואר, להוסיף על תנאי הרישיון או לגרוע מהם. למרבה האבסורד, השר עצמו חתם על שינוי תנאי הרישיון ביום 3.2.2023, ובעוד שבעבר סגירת הסניפים הייתה טעונה את אישורו, הרי שעל פי הרישיון המתוקן כבר אין צורך באישורו אלא בהודעה מראש למנכ"ל המשרד, </w:t>
      </w:r>
      <w:r w:rsidRPr="002A448F">
        <w:rPr>
          <w:rFonts w:ascii="Century" w:hAnsi="Century" w:cs="Miriam" w:hint="cs"/>
          <w:b/>
          <w:spacing w:val="0"/>
          <w:szCs w:val="24"/>
          <w:rtl/>
        </w:rPr>
        <w:t>שיכול להורות שלא לסגור את הסניף</w:t>
      </w:r>
      <w:r>
        <w:rPr>
          <w:rFonts w:hint="cs"/>
          <w:rtl/>
        </w:rPr>
        <w:t xml:space="preserve">. בעמ' 13 ל"התייחסות לתגובה לשימוע", שצורפה להודעת השרים מיום 17.7.2023 על העברתו של העותר מתפקידו, נכתב כי הגיעו לשר תלונות של ראשי רשויות מקומיות על סגירת סניפים (חולון, אשקלון, אבן יהודה, פתח תקווה, בני ברק). אך אם סברו השר או מנכ"ל משרדו כי לא היה מקום לסגור סניף כזה או אחר ברחבי הארץ, יכולים היו לאכוף את רצונם על החברה (וראו פסק דיני בבג"ץ 4682/23 </w:t>
      </w:r>
      <w:r w:rsidRPr="002E6456">
        <w:rPr>
          <w:rFonts w:ascii="Century" w:hAnsi="Century" w:cs="Miriam" w:hint="eastAsia"/>
          <w:b/>
          <w:spacing w:val="0"/>
          <w:szCs w:val="24"/>
          <w:rtl/>
        </w:rPr>
        <w:t>עמותת</w:t>
      </w:r>
      <w:r>
        <w:rPr>
          <w:rFonts w:hint="cs"/>
          <w:rtl/>
        </w:rPr>
        <w:t xml:space="preserve"> </w:t>
      </w:r>
      <w:r w:rsidRPr="00F515BB">
        <w:rPr>
          <w:rFonts w:ascii="Century" w:hAnsi="Century" w:cs="Miriam" w:hint="cs"/>
          <w:b/>
          <w:spacing w:val="0"/>
          <w:szCs w:val="24"/>
          <w:rtl/>
        </w:rPr>
        <w:t>הרצליה למען תושביה נ' חברת דואר ישראל בע"מ</w:t>
      </w:r>
      <w:r w:rsidRPr="00F515BB">
        <w:rPr>
          <w:rFonts w:hint="cs"/>
          <w:rtl/>
        </w:rPr>
        <w:t xml:space="preserve"> </w:t>
      </w:r>
      <w:r>
        <w:rPr>
          <w:rFonts w:hint="cs"/>
          <w:rtl/>
        </w:rPr>
        <w:t xml:space="preserve">(28.8.2023) שם נדחתה עתירה כנגד החלטת חברת הדואר לסגור סניף בעיר הרצליה). לכך יש להוסיף כי הרישיון המתוקן שניתן לחברה, </w:t>
      </w:r>
      <w:proofErr w:type="spellStart"/>
      <w:r>
        <w:rPr>
          <w:rFonts w:hint="cs"/>
          <w:rtl/>
        </w:rPr>
        <w:t>איפשר</w:t>
      </w:r>
      <w:proofErr w:type="spellEnd"/>
      <w:r>
        <w:rPr>
          <w:rFonts w:hint="cs"/>
          <w:rtl/>
        </w:rPr>
        <w:t xml:space="preserve"> לחברה לסגור יותר סניפים ממספר הסניפים שנסגרו בפועל. </w:t>
      </w:r>
    </w:p>
    <w:p w:rsidR="00476343" w:rsidRDefault="00476343" w:rsidP="00476343">
      <w:pPr>
        <w:pStyle w:val="Ruller41"/>
        <w:rPr>
          <w:rtl/>
        </w:rPr>
      </w:pPr>
    </w:p>
    <w:p w:rsidR="00476343" w:rsidRDefault="00476343" w:rsidP="00476343">
      <w:pPr>
        <w:pStyle w:val="Ruller41"/>
        <w:rPr>
          <w:rtl/>
        </w:rPr>
      </w:pPr>
      <w:r>
        <w:rPr>
          <w:rFonts w:hint="cs"/>
          <w:rtl/>
        </w:rPr>
        <w:lastRenderedPageBreak/>
        <w:t>4.</w:t>
      </w:r>
      <w:r>
        <w:rPr>
          <w:rFonts w:hint="cs"/>
          <w:rtl/>
        </w:rPr>
        <w:tab/>
        <w:t xml:space="preserve">על רקע האמור לעיל, נקל עלי לקבוע כי החלטת השרים להעביר את העותר מתפקידו היא החלטה בלתי סבירה באופן קיצוני, והמקרה שלפנינו אך מוכיח כי טוב  עשה בית משפט זה כאשר פסל את תיקון מס' 3 לחוק יסוד: השפיטה (בג"ץ 5658/23 </w:t>
      </w:r>
      <w:r w:rsidRPr="002F4098">
        <w:rPr>
          <w:rFonts w:ascii="Century" w:hAnsi="Century" w:cs="Miriam" w:hint="cs"/>
          <w:b/>
          <w:spacing w:val="0"/>
          <w:szCs w:val="24"/>
          <w:rtl/>
        </w:rPr>
        <w:t>התנועה למען איכות השלטון בישראל נ' הכנסת</w:t>
      </w:r>
      <w:r>
        <w:rPr>
          <w:rFonts w:ascii="Century" w:hAnsi="Century" w:cs="Miriam" w:hint="cs"/>
          <w:b/>
          <w:spacing w:val="0"/>
          <w:szCs w:val="24"/>
          <w:rtl/>
        </w:rPr>
        <w:t xml:space="preserve"> </w:t>
      </w:r>
      <w:r w:rsidRPr="00EA7901">
        <w:rPr>
          <w:rFonts w:ascii="Century" w:hAnsi="Century" w:hint="cs"/>
          <w:rtl/>
        </w:rPr>
        <w:t>(1.1.2024)</w:t>
      </w:r>
      <w:r w:rsidRPr="002F4098">
        <w:rPr>
          <w:rFonts w:ascii="Century" w:hAnsi="Century" w:cs="Miriam" w:hint="cs"/>
          <w:b/>
          <w:spacing w:val="0"/>
          <w:szCs w:val="24"/>
          <w:rtl/>
        </w:rPr>
        <w:t xml:space="preserve"> </w:t>
      </w:r>
      <w:r>
        <w:rPr>
          <w:rFonts w:hint="cs"/>
          <w:rtl/>
        </w:rPr>
        <w:t xml:space="preserve">(להלן: </w:t>
      </w:r>
      <w:r w:rsidRPr="00627283">
        <w:rPr>
          <w:rFonts w:ascii="Century" w:hAnsi="Century" w:hint="eastAsia"/>
          <w:rtl/>
        </w:rPr>
        <w:t>עניין</w:t>
      </w:r>
      <w:r w:rsidRPr="00627283">
        <w:rPr>
          <w:rFonts w:ascii="Century" w:hAnsi="Century"/>
          <w:rtl/>
        </w:rPr>
        <w:t xml:space="preserve"> </w:t>
      </w:r>
      <w:r w:rsidRPr="002F4098">
        <w:rPr>
          <w:rFonts w:ascii="Century" w:hAnsi="Century" w:cs="Miriam" w:hint="cs"/>
          <w:b/>
          <w:spacing w:val="0"/>
          <w:szCs w:val="24"/>
          <w:rtl/>
        </w:rPr>
        <w:t>עילת הסבירות</w:t>
      </w:r>
      <w:r>
        <w:rPr>
          <w:rFonts w:hint="cs"/>
          <w:rtl/>
        </w:rPr>
        <w:t>)).</w:t>
      </w:r>
    </w:p>
    <w:p w:rsidR="00476343" w:rsidRDefault="00476343" w:rsidP="00476343">
      <w:pPr>
        <w:pStyle w:val="Ruller41"/>
        <w:rPr>
          <w:rtl/>
        </w:rPr>
      </w:pPr>
    </w:p>
    <w:p w:rsidR="00476343" w:rsidRPr="00E92EF4" w:rsidRDefault="00476343" w:rsidP="00476343">
      <w:pPr>
        <w:pStyle w:val="Ruller41"/>
        <w:rPr>
          <w:rFonts w:ascii="Century" w:hAnsi="Century"/>
          <w:rtl/>
        </w:rPr>
      </w:pPr>
      <w:r>
        <w:rPr>
          <w:rFonts w:hint="cs"/>
          <w:rtl/>
        </w:rPr>
        <w:t>5.</w:t>
      </w:r>
      <w:r>
        <w:rPr>
          <w:rFonts w:hint="cs"/>
          <w:rtl/>
        </w:rPr>
        <w:tab/>
        <w:t xml:space="preserve">בדיון שנערך לפנינו, הפליג בא כוחו של השר לשיתוף פעולה אזורי וסיבר את אוזננו על כך שחובתם של פקידים ליישם את מדיניות השר, וכאשר </w:t>
      </w:r>
      <w:r w:rsidRPr="00E92EF4">
        <w:rPr>
          <w:rFonts w:ascii="Century" w:hAnsi="Century" w:hint="cs"/>
          <w:rtl/>
        </w:rPr>
        <w:t>פועלים נגד מדינ</w:t>
      </w:r>
      <w:r>
        <w:rPr>
          <w:rFonts w:ascii="Century" w:hAnsi="Century" w:hint="cs"/>
          <w:rtl/>
        </w:rPr>
        <w:t>י</w:t>
      </w:r>
      <w:r w:rsidRPr="00E92EF4">
        <w:rPr>
          <w:rFonts w:ascii="Century" w:hAnsi="Century" w:hint="cs"/>
          <w:rtl/>
        </w:rPr>
        <w:t xml:space="preserve">ות שהתווה השר, </w:t>
      </w:r>
      <w:r>
        <w:rPr>
          <w:rFonts w:ascii="Century" w:hAnsi="Century" w:hint="cs"/>
          <w:rtl/>
        </w:rPr>
        <w:t xml:space="preserve">הרי שאותו </w:t>
      </w:r>
      <w:r w:rsidRPr="00E92EF4">
        <w:rPr>
          <w:rFonts w:ascii="Century" w:hAnsi="Century" w:cs="Miriam" w:hint="cs"/>
          <w:b/>
          <w:spacing w:val="0"/>
          <w:szCs w:val="24"/>
          <w:rtl/>
        </w:rPr>
        <w:t>פקיד</w:t>
      </w:r>
      <w:r w:rsidRPr="00E92EF4">
        <w:rPr>
          <w:rFonts w:ascii="Century" w:hAnsi="Century" w:hint="cs"/>
          <w:rtl/>
        </w:rPr>
        <w:t xml:space="preserve"> </w:t>
      </w:r>
      <w:r>
        <w:rPr>
          <w:rFonts w:ascii="Century" w:hAnsi="Century" w:hint="cs"/>
          <w:rtl/>
        </w:rPr>
        <w:t xml:space="preserve">שפעל בדרך זו </w:t>
      </w:r>
      <w:r w:rsidRPr="00E92EF4">
        <w:rPr>
          <w:rFonts w:ascii="Century" w:hAnsi="Century" w:hint="cs"/>
          <w:rtl/>
        </w:rPr>
        <w:t>חורג מסמכותו</w:t>
      </w:r>
      <w:r>
        <w:rPr>
          <w:rFonts w:ascii="Century" w:hAnsi="Century" w:hint="cs"/>
          <w:rtl/>
        </w:rPr>
        <w:t xml:space="preserve">. </w:t>
      </w:r>
    </w:p>
    <w:p w:rsidR="00476343" w:rsidRDefault="00476343" w:rsidP="00476343">
      <w:pPr>
        <w:pStyle w:val="Ruller41"/>
        <w:rPr>
          <w:rtl/>
        </w:rPr>
      </w:pPr>
    </w:p>
    <w:p w:rsidR="00476343" w:rsidRDefault="00476343" w:rsidP="00476343">
      <w:pPr>
        <w:pStyle w:val="Ruller41"/>
        <w:rPr>
          <w:rtl/>
        </w:rPr>
      </w:pPr>
      <w:r>
        <w:rPr>
          <w:rtl/>
        </w:rPr>
        <w:tab/>
      </w:r>
      <w:r>
        <w:rPr>
          <w:rFonts w:hint="cs"/>
          <w:rtl/>
        </w:rPr>
        <w:t xml:space="preserve">לא בכדי נזעק חברי, השופט </w:t>
      </w:r>
      <w:r w:rsidRPr="00E92EF4">
        <w:rPr>
          <w:rFonts w:ascii="Century" w:hAnsi="Century" w:cs="Miriam" w:hint="cs"/>
          <w:b/>
          <w:spacing w:val="0"/>
          <w:szCs w:val="24"/>
          <w:rtl/>
        </w:rPr>
        <w:t>ח' כבוב</w:t>
      </w:r>
      <w:r>
        <w:rPr>
          <w:rFonts w:ascii="Century" w:hAnsi="Century" w:cs="Miriam" w:hint="cs"/>
          <w:b/>
          <w:spacing w:val="0"/>
          <w:szCs w:val="24"/>
          <w:rtl/>
        </w:rPr>
        <w:t>,</w:t>
      </w:r>
      <w:r w:rsidRPr="00E92EF4">
        <w:rPr>
          <w:rFonts w:hint="cs"/>
          <w:rtl/>
        </w:rPr>
        <w:t xml:space="preserve"> </w:t>
      </w:r>
      <w:r>
        <w:rPr>
          <w:rFonts w:hint="cs"/>
          <w:rtl/>
        </w:rPr>
        <w:t xml:space="preserve">ושאל בתמיהה אם הכוונה ליו"ר הדירקטוריון </w:t>
      </w:r>
      <w:r>
        <w:rPr>
          <w:rtl/>
        </w:rPr>
        <w:t>–</w:t>
      </w:r>
      <w:r>
        <w:rPr>
          <w:rFonts w:hint="cs"/>
          <w:rtl/>
        </w:rPr>
        <w:t xml:space="preserve"> ולמרבה התמיהה נענה בחיוב. אלא </w:t>
      </w:r>
      <w:proofErr w:type="spellStart"/>
      <w:r>
        <w:rPr>
          <w:rFonts w:hint="cs"/>
          <w:rtl/>
        </w:rPr>
        <w:t>שמ</w:t>
      </w:r>
      <w:r>
        <w:rPr>
          <w:rFonts w:ascii="FrankRuehl" w:hAnsi="FrankRuehl"/>
          <w:rtl/>
        </w:rPr>
        <w:t>שׂ</w:t>
      </w:r>
      <w:r>
        <w:rPr>
          <w:rFonts w:hint="cs"/>
          <w:rtl/>
        </w:rPr>
        <w:t>רת</w:t>
      </w:r>
      <w:proofErr w:type="spellEnd"/>
      <w:r>
        <w:rPr>
          <w:rFonts w:hint="cs"/>
          <w:rtl/>
        </w:rPr>
        <w:t xml:space="preserve"> יו"ר דירקטוריון של חברה ממשלתית אינה משרת אמון ויו"ר הדירקטוריון אינו בגדר פקיד (על כך שאין משום פחיתות כבוד בתואר "פקיד" ראו פסקה 92 לפסק דיני </w:t>
      </w:r>
      <w:r>
        <w:rPr>
          <w:rFonts w:ascii="Century" w:hAnsi="Century" w:hint="cs"/>
          <w:rtl/>
        </w:rPr>
        <w:t>ב</w:t>
      </w:r>
      <w:r w:rsidRPr="00627283">
        <w:rPr>
          <w:rFonts w:ascii="Century" w:hAnsi="Century" w:hint="eastAsia"/>
          <w:rtl/>
        </w:rPr>
        <w:t>עניין</w:t>
      </w:r>
      <w:r w:rsidRPr="00627283">
        <w:rPr>
          <w:rFonts w:ascii="Century" w:hAnsi="Century"/>
          <w:rtl/>
        </w:rPr>
        <w:t xml:space="preserve"> </w:t>
      </w:r>
      <w:r w:rsidRPr="002F4098">
        <w:rPr>
          <w:rFonts w:ascii="Century" w:hAnsi="Century" w:cs="Miriam" w:hint="cs"/>
          <w:b/>
          <w:spacing w:val="0"/>
          <w:szCs w:val="24"/>
          <w:rtl/>
        </w:rPr>
        <w:t>עילת הסבירות</w:t>
      </w:r>
      <w:r>
        <w:rPr>
          <w:rFonts w:hint="cs"/>
          <w:rtl/>
        </w:rPr>
        <w:t xml:space="preserve">). חובת האמונים של יו"ר דירקטוריון חברה ממשלתית אינה כלפי השר אלא כלפי החברה, ועליו להפעיל שיקול דעת עצמאי לטובת החברה בפעילותה העסקית השוטפת. </w:t>
      </w:r>
    </w:p>
    <w:p w:rsidR="00476343" w:rsidRDefault="00476343" w:rsidP="00476343">
      <w:pPr>
        <w:pStyle w:val="Ruller41"/>
        <w:rPr>
          <w:rtl/>
        </w:rPr>
      </w:pPr>
    </w:p>
    <w:p w:rsidR="00476343" w:rsidRDefault="00476343" w:rsidP="00476343">
      <w:pPr>
        <w:pStyle w:val="Ruller41"/>
        <w:rPr>
          <w:rtl/>
        </w:rPr>
      </w:pPr>
      <w:r>
        <w:rPr>
          <w:rtl/>
        </w:rPr>
        <w:tab/>
      </w:r>
      <w:r>
        <w:rPr>
          <w:rFonts w:hint="cs"/>
          <w:rtl/>
        </w:rPr>
        <w:t xml:space="preserve">בנקודה זו, ומשעה שהזכרנו את חובתו של הדירקטור להפעיל שיקול דעת עצמאי, אנצל את המקרה שלפנינו כדי לעמוד בקצרה על טיבה </w:t>
      </w:r>
      <w:proofErr w:type="spellStart"/>
      <w:r>
        <w:rPr>
          <w:rFonts w:hint="cs"/>
          <w:rtl/>
        </w:rPr>
        <w:t>ואופיה</w:t>
      </w:r>
      <w:proofErr w:type="spellEnd"/>
      <w:r>
        <w:rPr>
          <w:rFonts w:hint="cs"/>
          <w:rtl/>
        </w:rPr>
        <w:t xml:space="preserve"> של החברה הממשלתית ועל החשיבות הרבה בביצור עצמאותם של נושאי המשרה בחברות הממשלתיות. </w:t>
      </w:r>
    </w:p>
    <w:p w:rsidR="00476343" w:rsidRDefault="00476343" w:rsidP="00476343">
      <w:pPr>
        <w:pStyle w:val="Ruller41"/>
        <w:rPr>
          <w:rtl/>
        </w:rPr>
      </w:pPr>
      <w:r>
        <w:rPr>
          <w:rtl/>
        </w:rPr>
        <w:tab/>
      </w:r>
    </w:p>
    <w:p w:rsidR="00476343" w:rsidRDefault="00476343" w:rsidP="00476343">
      <w:pPr>
        <w:pStyle w:val="Ruller41"/>
        <w:rPr>
          <w:rtl/>
        </w:rPr>
      </w:pPr>
      <w:r>
        <w:rPr>
          <w:rFonts w:hint="cs"/>
          <w:rtl/>
        </w:rPr>
        <w:t>6.</w:t>
      </w:r>
      <w:r>
        <w:rPr>
          <w:rtl/>
        </w:rPr>
        <w:tab/>
      </w:r>
      <w:r>
        <w:rPr>
          <w:rFonts w:hint="cs"/>
          <w:rtl/>
        </w:rPr>
        <w:t xml:space="preserve">חברה ממשלתית מוגדרת בסעיף 1 לחוק כ"חברה שיותר ממחצית כוח ההצבעה באספותיה הכלליות או הזכות למנות יותר ממחצית מספר הדירקטורים הם בידי המדינה [...]". מעצם טיבה של החברה הממשלתית, היא מהווה ישות משפטית נפרדת מזו של המדינה, וככלל כפופה לדיני החברות (סעיף 2 לחוק). לצד זאת, וכפי ששמה מעיד עליה, אין חולק כי בין החברה הממשלתית לבין הממשלה קיימת זיקה הדוקה שמתבטאת במגוון של היבטים שקשורים בתחומי פעילותה של החברה ועבודתה, ובכלל זה מינוי הדירקטורים, היבטים תקציביים, העברת מידע, ואף הכפפת החלטות שונות לאישור השר או הממשלה (ראו ביתר הרחבה אצל אברהם </w:t>
      </w:r>
      <w:proofErr w:type="spellStart"/>
      <w:r>
        <w:rPr>
          <w:rFonts w:hint="cs"/>
          <w:rtl/>
        </w:rPr>
        <w:t>וינרוט</w:t>
      </w:r>
      <w:proofErr w:type="spellEnd"/>
      <w:r>
        <w:rPr>
          <w:rFonts w:hint="cs"/>
          <w:rtl/>
        </w:rPr>
        <w:t xml:space="preserve"> </w:t>
      </w:r>
      <w:r w:rsidRPr="008E5D6D">
        <w:rPr>
          <w:rFonts w:ascii="Century" w:hAnsi="Century" w:cs="Miriam" w:hint="cs"/>
          <w:b/>
          <w:spacing w:val="0"/>
          <w:szCs w:val="24"/>
          <w:rtl/>
        </w:rPr>
        <w:t xml:space="preserve">חברות ממשלתיות </w:t>
      </w:r>
      <w:r w:rsidRPr="008E5D6D">
        <w:rPr>
          <w:rFonts w:ascii="Century" w:hAnsi="Century" w:cs="Miriam"/>
          <w:b/>
          <w:spacing w:val="0"/>
          <w:szCs w:val="24"/>
          <w:rtl/>
        </w:rPr>
        <w:t>–</w:t>
      </w:r>
      <w:r w:rsidRPr="008E5D6D">
        <w:rPr>
          <w:rFonts w:ascii="Century" w:hAnsi="Century" w:cs="Miriam" w:hint="cs"/>
          <w:b/>
          <w:spacing w:val="0"/>
          <w:szCs w:val="24"/>
          <w:rtl/>
        </w:rPr>
        <w:t xml:space="preserve"> תחולת המשפט </w:t>
      </w:r>
      <w:proofErr w:type="spellStart"/>
      <w:r w:rsidRPr="008E5D6D">
        <w:rPr>
          <w:rFonts w:ascii="Century" w:hAnsi="Century" w:cs="Miriam" w:hint="cs"/>
          <w:b/>
          <w:spacing w:val="0"/>
          <w:szCs w:val="24"/>
          <w:rtl/>
        </w:rPr>
        <w:t>המינהלי</w:t>
      </w:r>
      <w:proofErr w:type="spellEnd"/>
      <w:r>
        <w:rPr>
          <w:rFonts w:hint="cs"/>
          <w:rtl/>
        </w:rPr>
        <w:t xml:space="preserve"> 251 (1995)). אין זה מפתיע אפוא כי החברה הממשלתית נתפשה בעבר כמכשיר שמשקף מעין "פרדוקס" או "קונפליקט פנימי", כאשר מחד גיסא </w:t>
      </w:r>
      <w:r>
        <w:rPr>
          <w:rtl/>
        </w:rPr>
        <w:t>–</w:t>
      </w:r>
      <w:r>
        <w:rPr>
          <w:rFonts w:hint="cs"/>
          <w:rtl/>
        </w:rPr>
        <w:t xml:space="preserve"> המדינה בוחרת לנהל את העסק הרלוונטי כחברה עסקית רגילה על היתרונות הגלומים בכך; ומאידך גיסא </w:t>
      </w:r>
      <w:r>
        <w:rPr>
          <w:rtl/>
        </w:rPr>
        <w:t>–</w:t>
      </w:r>
      <w:r>
        <w:rPr>
          <w:rFonts w:hint="cs"/>
          <w:rtl/>
        </w:rPr>
        <w:t xml:space="preserve"> המדינה מעוניינת להבטיח אמצעי פיקוח ובקרה ולשמר בידה בלמים ומעצורים לתפעולה העסקי הרגיל של החברה (יוסף גרוס "החברה הממשלתית" </w:t>
      </w:r>
      <w:r w:rsidRPr="00395CA8">
        <w:rPr>
          <w:rFonts w:ascii="Century" w:hAnsi="Century" w:cs="Miriam" w:hint="cs"/>
          <w:b/>
          <w:spacing w:val="0"/>
          <w:szCs w:val="24"/>
          <w:rtl/>
        </w:rPr>
        <w:t>הפרקליט</w:t>
      </w:r>
      <w:r>
        <w:rPr>
          <w:rFonts w:hint="cs"/>
          <w:rtl/>
        </w:rPr>
        <w:t xml:space="preserve"> ל 493 (תשל"ו); </w:t>
      </w:r>
      <w:r>
        <w:rPr>
          <w:rFonts w:hint="cs"/>
          <w:rtl/>
        </w:rPr>
        <w:lastRenderedPageBreak/>
        <w:t xml:space="preserve">יוסף גרוס "אופיו המיוחד של דירקטוריון החברה הממשלתית" </w:t>
      </w:r>
      <w:r w:rsidRPr="00395CA8">
        <w:rPr>
          <w:rFonts w:ascii="Century" w:hAnsi="Century" w:cs="Miriam" w:hint="cs"/>
          <w:b/>
          <w:spacing w:val="0"/>
          <w:szCs w:val="24"/>
          <w:rtl/>
        </w:rPr>
        <w:t>משפטים</w:t>
      </w:r>
      <w:r w:rsidRPr="00395CA8">
        <w:rPr>
          <w:rFonts w:hint="cs"/>
          <w:rtl/>
        </w:rPr>
        <w:t xml:space="preserve"> </w:t>
      </w:r>
      <w:r>
        <w:rPr>
          <w:rFonts w:hint="cs"/>
          <w:rtl/>
        </w:rPr>
        <w:t xml:space="preserve">ח 339 (תשל"ז-תשל"ח)). </w:t>
      </w:r>
    </w:p>
    <w:p w:rsidR="00476343" w:rsidRDefault="00476343" w:rsidP="00476343">
      <w:pPr>
        <w:pStyle w:val="Ruller41"/>
        <w:rPr>
          <w:rtl/>
        </w:rPr>
      </w:pPr>
    </w:p>
    <w:p w:rsidR="00476343" w:rsidRDefault="00476343" w:rsidP="00476343">
      <w:pPr>
        <w:pStyle w:val="Ruller41"/>
        <w:rPr>
          <w:rtl/>
        </w:rPr>
      </w:pPr>
      <w:r>
        <w:rPr>
          <w:rFonts w:hint="cs"/>
          <w:rtl/>
        </w:rPr>
        <w:t>7.</w:t>
      </w:r>
      <w:r>
        <w:rPr>
          <w:rtl/>
        </w:rPr>
        <w:tab/>
      </w:r>
      <w:r>
        <w:rPr>
          <w:rFonts w:hint="cs"/>
          <w:rtl/>
        </w:rPr>
        <w:t>במהלך השנים (ויש שיפטירו: כדרכו של עולם), הזיקה בין הדרג הפוליטי לבין הדרג המקצועי-ניהולי של החברות הממשלתיות הולידה תופעות בלתי רצויות שהצריכו התאמה של הוראות הדין. בדברי ההסבר להצעת חוק החברות הממשלתיות (תיקון מס' 6) (מינויים), התשנ"ג-1993 (</w:t>
      </w:r>
      <w:proofErr w:type="spellStart"/>
      <w:r>
        <w:rPr>
          <w:rFonts w:hint="cs"/>
          <w:rtl/>
        </w:rPr>
        <w:t>ה"ח</w:t>
      </w:r>
      <w:proofErr w:type="spellEnd"/>
      <w:r>
        <w:rPr>
          <w:rFonts w:hint="cs"/>
          <w:rtl/>
        </w:rPr>
        <w:t xml:space="preserve"> 2162, עמ' 72) (להלן: </w:t>
      </w:r>
      <w:r w:rsidRPr="00392DB3">
        <w:rPr>
          <w:rFonts w:ascii="Century" w:hAnsi="Century" w:cs="Miriam" w:hint="cs"/>
          <w:b/>
          <w:spacing w:val="0"/>
          <w:szCs w:val="24"/>
          <w:rtl/>
        </w:rPr>
        <w:t>הצעת החוק</w:t>
      </w:r>
      <w:r>
        <w:rPr>
          <w:rFonts w:hint="cs"/>
          <w:rtl/>
        </w:rPr>
        <w:t xml:space="preserve">) שהוגשה מטעמם של חברי כנסת מטעם ועדת החוקה, חוק ומשפט של הכנסת, </w:t>
      </w:r>
      <w:proofErr w:type="spellStart"/>
      <w:r>
        <w:rPr>
          <w:rFonts w:hint="cs"/>
          <w:rtl/>
        </w:rPr>
        <w:t>צויין</w:t>
      </w:r>
      <w:proofErr w:type="spellEnd"/>
      <w:r>
        <w:rPr>
          <w:rFonts w:hint="cs"/>
          <w:rtl/>
        </w:rPr>
        <w:t xml:space="preserve"> כי המלצותיה של ועדה שהוקמה בשנת 1986 לצורך קביעת אמות מידה לכשירותם של דירקטורים בחברות ממשלתיות, לא יושמו. וכך נאמר בהמשך הדברים:</w:t>
      </w:r>
    </w:p>
    <w:p w:rsidR="00476343" w:rsidRDefault="00476343" w:rsidP="00476343">
      <w:pPr>
        <w:pStyle w:val="Ruller41"/>
        <w:rPr>
          <w:rtl/>
        </w:rPr>
      </w:pPr>
    </w:p>
    <w:p w:rsidR="00476343" w:rsidRDefault="00476343" w:rsidP="00476343">
      <w:pPr>
        <w:pStyle w:val="Ruller5"/>
        <w:rPr>
          <w:rtl/>
        </w:rPr>
      </w:pPr>
      <w:r>
        <w:rPr>
          <w:rFonts w:hint="cs"/>
          <w:rtl/>
        </w:rPr>
        <w:t xml:space="preserve">"הסיבות שהביאו להקמת הועדה, לא רק שלא עברו מן העולם אלא שתוקפן התעמק: המינויים היו, פעמים רבות מדי, חסרי שיקול דעת ענייני, פגעו ביכולת </w:t>
      </w:r>
      <w:proofErr w:type="spellStart"/>
      <w:r>
        <w:rPr>
          <w:rFonts w:hint="cs"/>
          <w:rtl/>
        </w:rPr>
        <w:t>התיפקוד</w:t>
      </w:r>
      <w:proofErr w:type="spellEnd"/>
      <w:r>
        <w:rPr>
          <w:rFonts w:hint="cs"/>
          <w:rtl/>
        </w:rPr>
        <w:t xml:space="preserve"> המקצועית של דירקטוריונים של חברות ממשלתיות והאיצו תהליך של פוליטיזציה של הדירקטוריונים".</w:t>
      </w:r>
    </w:p>
    <w:p w:rsidR="00476343" w:rsidRDefault="00476343" w:rsidP="00476343">
      <w:pPr>
        <w:pStyle w:val="Ruller41"/>
      </w:pPr>
    </w:p>
    <w:p w:rsidR="00476343" w:rsidRDefault="00476343" w:rsidP="00476343">
      <w:pPr>
        <w:pStyle w:val="Ruller41"/>
        <w:rPr>
          <w:rtl/>
        </w:rPr>
      </w:pPr>
      <w:r>
        <w:rPr>
          <w:rtl/>
        </w:rPr>
        <w:tab/>
      </w:r>
      <w:r>
        <w:rPr>
          <w:rFonts w:hint="cs"/>
          <w:rtl/>
        </w:rPr>
        <w:t xml:space="preserve">(התייחסות לתופעה בעייתית זו בהקשר של מינויים פוליטיים בחברות ממשלתיות ראו גם אצל יצחק זמיר "אתיקה בפוליטיקה" </w:t>
      </w:r>
      <w:r w:rsidRPr="004A043C">
        <w:rPr>
          <w:rFonts w:ascii="Century" w:hAnsi="Century" w:cs="Miriam" w:hint="cs"/>
          <w:b/>
          <w:spacing w:val="0"/>
          <w:szCs w:val="24"/>
          <w:rtl/>
        </w:rPr>
        <w:t>משפטים</w:t>
      </w:r>
      <w:r>
        <w:rPr>
          <w:rFonts w:hint="cs"/>
          <w:rtl/>
        </w:rPr>
        <w:t xml:space="preserve"> </w:t>
      </w:r>
      <w:proofErr w:type="spellStart"/>
      <w:r>
        <w:rPr>
          <w:rFonts w:hint="cs"/>
          <w:rtl/>
        </w:rPr>
        <w:t>יז</w:t>
      </w:r>
      <w:proofErr w:type="spellEnd"/>
      <w:r>
        <w:rPr>
          <w:rFonts w:hint="cs"/>
          <w:rtl/>
        </w:rPr>
        <w:t xml:space="preserve"> 250, 280-278 (תשמ"ח) (להלן: </w:t>
      </w:r>
      <w:r w:rsidRPr="004B2FDC">
        <w:rPr>
          <w:rFonts w:ascii="Century" w:hAnsi="Century" w:cs="Miriam" w:hint="cs"/>
          <w:b/>
          <w:spacing w:val="0"/>
          <w:szCs w:val="24"/>
          <w:rtl/>
        </w:rPr>
        <w:t>זמיר</w:t>
      </w:r>
      <w:r>
        <w:rPr>
          <w:rFonts w:hint="cs"/>
          <w:rtl/>
        </w:rPr>
        <w:t xml:space="preserve">); גל הררי "עוולת הרשלנות כאמצעי אלטרנטיבי לצמצום נגע המינויים הפוליטיים בדירקטוריונים של חברות ממשלתיות" </w:t>
      </w:r>
      <w:r w:rsidRPr="0026219E">
        <w:rPr>
          <w:rFonts w:ascii="Century" w:hAnsi="Century" w:cs="Miriam" w:hint="cs"/>
          <w:b/>
          <w:spacing w:val="0"/>
          <w:szCs w:val="24"/>
          <w:rtl/>
        </w:rPr>
        <w:t>עיוני משפט</w:t>
      </w:r>
      <w:r w:rsidRPr="0026219E">
        <w:rPr>
          <w:rFonts w:hint="cs"/>
          <w:rtl/>
        </w:rPr>
        <w:t xml:space="preserve"> </w:t>
      </w:r>
      <w:proofErr w:type="spellStart"/>
      <w:r>
        <w:rPr>
          <w:rFonts w:hint="cs"/>
          <w:rtl/>
        </w:rPr>
        <w:t>יז</w:t>
      </w:r>
      <w:proofErr w:type="spellEnd"/>
      <w:r>
        <w:rPr>
          <w:rFonts w:hint="cs"/>
          <w:rtl/>
        </w:rPr>
        <w:t xml:space="preserve">(2) 377-375 (1992) (להלן: </w:t>
      </w:r>
      <w:r w:rsidRPr="0026219E">
        <w:rPr>
          <w:rFonts w:ascii="Century" w:hAnsi="Century" w:cs="Miriam" w:hint="cs"/>
          <w:b/>
          <w:spacing w:val="0"/>
          <w:szCs w:val="24"/>
          <w:rtl/>
        </w:rPr>
        <w:t>הררי</w:t>
      </w:r>
      <w:r>
        <w:rPr>
          <w:rFonts w:hint="cs"/>
          <w:rtl/>
        </w:rPr>
        <w:t xml:space="preserve">); </w:t>
      </w:r>
      <w:proofErr w:type="spellStart"/>
      <w:r>
        <w:rPr>
          <w:rFonts w:hint="cs"/>
          <w:rtl/>
        </w:rPr>
        <w:t>עע"ם</w:t>
      </w:r>
      <w:proofErr w:type="spellEnd"/>
      <w:r>
        <w:rPr>
          <w:rFonts w:hint="cs"/>
          <w:rtl/>
        </w:rPr>
        <w:t xml:space="preserve"> 9341/05 </w:t>
      </w:r>
      <w:r w:rsidRPr="002E6456">
        <w:rPr>
          <w:rFonts w:ascii="Century" w:hAnsi="Century" w:cs="Miriam" w:hint="eastAsia"/>
          <w:b/>
          <w:spacing w:val="0"/>
          <w:szCs w:val="24"/>
          <w:rtl/>
        </w:rPr>
        <w:t>התנועה</w:t>
      </w:r>
      <w:r w:rsidRPr="002E6456">
        <w:rPr>
          <w:rFonts w:ascii="Century" w:hAnsi="Century" w:cs="Miriam"/>
          <w:b/>
          <w:spacing w:val="0"/>
          <w:szCs w:val="24"/>
          <w:rtl/>
        </w:rPr>
        <w:t xml:space="preserve"> </w:t>
      </w:r>
      <w:r w:rsidRPr="002E6456">
        <w:rPr>
          <w:rFonts w:ascii="Century" w:hAnsi="Century" w:cs="Miriam" w:hint="eastAsia"/>
          <w:b/>
          <w:spacing w:val="0"/>
          <w:szCs w:val="24"/>
          <w:rtl/>
        </w:rPr>
        <w:t>לחופש</w:t>
      </w:r>
      <w:r w:rsidRPr="002E6456">
        <w:rPr>
          <w:rFonts w:ascii="Century" w:hAnsi="Century" w:cs="Miriam"/>
          <w:b/>
          <w:spacing w:val="0"/>
          <w:szCs w:val="24"/>
          <w:rtl/>
        </w:rPr>
        <w:t xml:space="preserve"> </w:t>
      </w:r>
      <w:r w:rsidRPr="002E6456">
        <w:rPr>
          <w:rFonts w:ascii="Century" w:hAnsi="Century" w:cs="Miriam" w:hint="eastAsia"/>
          <w:b/>
          <w:spacing w:val="0"/>
          <w:szCs w:val="24"/>
          <w:rtl/>
        </w:rPr>
        <w:t>המידע</w:t>
      </w:r>
      <w:r w:rsidRPr="002E6456">
        <w:rPr>
          <w:rFonts w:ascii="Century" w:hAnsi="Century" w:cs="Miriam"/>
          <w:b/>
          <w:spacing w:val="0"/>
          <w:szCs w:val="24"/>
          <w:rtl/>
        </w:rPr>
        <w:t xml:space="preserve"> </w:t>
      </w:r>
      <w:r w:rsidRPr="002E6456">
        <w:rPr>
          <w:rFonts w:ascii="Century" w:hAnsi="Century" w:cs="Miriam" w:hint="eastAsia"/>
          <w:b/>
          <w:spacing w:val="0"/>
          <w:szCs w:val="24"/>
          <w:rtl/>
        </w:rPr>
        <w:t>נ</w:t>
      </w:r>
      <w:r w:rsidRPr="002E6456">
        <w:rPr>
          <w:rFonts w:ascii="Century" w:hAnsi="Century" w:cs="Miriam"/>
          <w:b/>
          <w:spacing w:val="0"/>
          <w:szCs w:val="24"/>
          <w:rtl/>
        </w:rPr>
        <w:t xml:space="preserve">' </w:t>
      </w:r>
      <w:r w:rsidRPr="002E6456">
        <w:rPr>
          <w:rFonts w:ascii="Century" w:hAnsi="Century" w:cs="Miriam" w:hint="eastAsia"/>
          <w:b/>
          <w:spacing w:val="0"/>
          <w:szCs w:val="24"/>
          <w:rtl/>
        </w:rPr>
        <w:t>רשות</w:t>
      </w:r>
      <w:r w:rsidRPr="002E6456">
        <w:rPr>
          <w:rFonts w:ascii="Century" w:hAnsi="Century" w:cs="Miriam"/>
          <w:b/>
          <w:spacing w:val="0"/>
          <w:szCs w:val="24"/>
          <w:rtl/>
        </w:rPr>
        <w:t xml:space="preserve"> </w:t>
      </w:r>
      <w:r w:rsidRPr="002E6456">
        <w:rPr>
          <w:rFonts w:ascii="Century" w:hAnsi="Century" w:cs="Miriam" w:hint="eastAsia"/>
          <w:b/>
          <w:spacing w:val="0"/>
          <w:szCs w:val="24"/>
          <w:rtl/>
        </w:rPr>
        <w:t>החברות</w:t>
      </w:r>
      <w:r w:rsidRPr="002E6456">
        <w:rPr>
          <w:rFonts w:ascii="Century" w:hAnsi="Century" w:cs="Miriam"/>
          <w:b/>
          <w:spacing w:val="0"/>
          <w:szCs w:val="24"/>
          <w:rtl/>
        </w:rPr>
        <w:t xml:space="preserve"> </w:t>
      </w:r>
      <w:r w:rsidRPr="002E6456">
        <w:rPr>
          <w:rFonts w:ascii="Century" w:hAnsi="Century" w:cs="Miriam" w:hint="eastAsia"/>
          <w:b/>
          <w:spacing w:val="0"/>
          <w:szCs w:val="24"/>
          <w:rtl/>
        </w:rPr>
        <w:t>הממשלתיות</w:t>
      </w:r>
      <w:r>
        <w:rPr>
          <w:rFonts w:hint="cs"/>
          <w:rtl/>
        </w:rPr>
        <w:t xml:space="preserve">, פסקה 10 (19.5.2009)). </w:t>
      </w:r>
      <w:proofErr w:type="spellStart"/>
      <w:r>
        <w:rPr>
          <w:rFonts w:hint="cs"/>
          <w:rtl/>
        </w:rPr>
        <w:t>בנסיון</w:t>
      </w:r>
      <w:proofErr w:type="spellEnd"/>
      <w:r>
        <w:rPr>
          <w:rFonts w:hint="cs"/>
          <w:rtl/>
        </w:rPr>
        <w:t xml:space="preserve"> להתמודד עם תופעה זו, נחקק סעיף 18ב לחוק </w:t>
      </w:r>
      <w:proofErr w:type="spellStart"/>
      <w:r>
        <w:rPr>
          <w:rFonts w:hint="cs"/>
          <w:rtl/>
        </w:rPr>
        <w:t>דהיום</w:t>
      </w:r>
      <w:proofErr w:type="spellEnd"/>
      <w:r>
        <w:rPr>
          <w:rFonts w:hint="cs"/>
          <w:rtl/>
        </w:rPr>
        <w:t xml:space="preserve">, שמכוחו הוקמה הוועדה לבדיקת כשירותם והתאמתם של מועמדים לכהונת דירקטורים בחברות ממשלתיות (מרדכי בן-דרור "מינוי דירקטורים על פי חוק החברות הממשלתיות, התשל"ה-1975" </w:t>
      </w:r>
      <w:r w:rsidRPr="0026219E">
        <w:rPr>
          <w:rFonts w:ascii="Century" w:hAnsi="Century" w:cs="Miriam" w:hint="cs"/>
          <w:b/>
          <w:spacing w:val="0"/>
          <w:szCs w:val="24"/>
          <w:rtl/>
        </w:rPr>
        <w:t>המשפט</w:t>
      </w:r>
      <w:r>
        <w:rPr>
          <w:rFonts w:hint="cs"/>
          <w:rtl/>
        </w:rPr>
        <w:t xml:space="preserve"> ד 307, 308 (תשנ"ט)). זאת, בין היתר, על מנת להגן על עצמאותו של הדירקטוריון ולהבטיח קיומו של חיץ מתאים בין הדרג הפוליטי לבין החברה הממשלתית.</w:t>
      </w:r>
    </w:p>
    <w:p w:rsidR="00476343" w:rsidRDefault="00476343" w:rsidP="00476343">
      <w:pPr>
        <w:pStyle w:val="Ruller41"/>
        <w:rPr>
          <w:rtl/>
        </w:rPr>
      </w:pPr>
    </w:p>
    <w:p w:rsidR="00476343" w:rsidRDefault="00476343" w:rsidP="00476343">
      <w:pPr>
        <w:pStyle w:val="Ruller41"/>
        <w:rPr>
          <w:rtl/>
        </w:rPr>
      </w:pPr>
      <w:r>
        <w:rPr>
          <w:rFonts w:hint="cs"/>
          <w:rtl/>
        </w:rPr>
        <w:t>8.</w:t>
      </w:r>
      <w:r>
        <w:rPr>
          <w:rFonts w:hint="cs"/>
          <w:rtl/>
        </w:rPr>
        <w:tab/>
        <w:t xml:space="preserve">הצורך להקפיד שהזיקה בין הדרג הפוליטי לדרג הניהולי-מקצועי של החברה הממשלתית תישאר עניינית בלבד ובהתאם להוראות הדין, לא נועדה אך בשל הצורך למנוע את "הפסול המוסרי וחוסר </w:t>
      </w:r>
      <w:proofErr w:type="spellStart"/>
      <w:r>
        <w:rPr>
          <w:rFonts w:hint="cs"/>
          <w:rtl/>
        </w:rPr>
        <w:t>ההגיינה</w:t>
      </w:r>
      <w:proofErr w:type="spellEnd"/>
      <w:r>
        <w:rPr>
          <w:rFonts w:hint="cs"/>
          <w:rtl/>
        </w:rPr>
        <w:t xml:space="preserve"> הציבורית" שעלול להתלוות למינוי פוליטי (</w:t>
      </w:r>
      <w:r w:rsidRPr="0026219E">
        <w:rPr>
          <w:rFonts w:ascii="Century" w:hAnsi="Century" w:cs="Miriam" w:hint="cs"/>
          <w:b/>
          <w:spacing w:val="0"/>
          <w:szCs w:val="24"/>
          <w:rtl/>
        </w:rPr>
        <w:t>הררי</w:t>
      </w:r>
      <w:r>
        <w:rPr>
          <w:rFonts w:hint="cs"/>
          <w:rtl/>
        </w:rPr>
        <w:t xml:space="preserve">, עמ' 376). לא פחות מכך, הקפדה זו נדרשת בשל הצורך להבטיח את </w:t>
      </w:r>
      <w:r w:rsidRPr="00092381">
        <w:rPr>
          <w:rFonts w:ascii="Century" w:hAnsi="Century" w:cs="Miriam" w:hint="cs"/>
          <w:b/>
          <w:spacing w:val="0"/>
          <w:szCs w:val="24"/>
          <w:rtl/>
        </w:rPr>
        <w:t>אי-תלותו של הדירקטור</w:t>
      </w:r>
      <w:r>
        <w:rPr>
          <w:rFonts w:hint="cs"/>
          <w:rtl/>
        </w:rPr>
        <w:t xml:space="preserve"> ויכולתו להפעיל </w:t>
      </w:r>
      <w:r w:rsidRPr="00092381">
        <w:rPr>
          <w:rFonts w:ascii="Century" w:hAnsi="Century" w:cs="Miriam" w:hint="cs"/>
          <w:b/>
          <w:spacing w:val="0"/>
          <w:szCs w:val="24"/>
          <w:rtl/>
        </w:rPr>
        <w:t>שיקול דעת עצמאי</w:t>
      </w:r>
      <w:r>
        <w:rPr>
          <w:rFonts w:hint="cs"/>
          <w:rtl/>
        </w:rPr>
        <w:t xml:space="preserve"> בעת קבלת החלטות, וזאת לצד הצורך לשמור על תפקודה התקין של החברה הממשלתית ואמינותה בעיני הציבור. ודוק: החברה הממשלתית נדרשת לפעול "</w:t>
      </w:r>
      <w:r w:rsidRPr="00B041B6">
        <w:rPr>
          <w:rFonts w:ascii="Century" w:hAnsi="Century" w:cs="Miriam" w:hint="cs"/>
          <w:b/>
          <w:spacing w:val="0"/>
          <w:szCs w:val="24"/>
          <w:rtl/>
        </w:rPr>
        <w:t xml:space="preserve">לפי השיקולים העסקיים שעל פיהם נוהגת לפעול </w:t>
      </w:r>
      <w:r w:rsidRPr="00B041B6">
        <w:rPr>
          <w:rFonts w:ascii="Century" w:hAnsi="Century" w:cs="Miriam" w:hint="cs"/>
          <w:b/>
          <w:spacing w:val="0"/>
          <w:szCs w:val="24"/>
          <w:rtl/>
        </w:rPr>
        <w:lastRenderedPageBreak/>
        <w:t>חברה לא-ממשלתית</w:t>
      </w:r>
      <w:r>
        <w:rPr>
          <w:rFonts w:hint="cs"/>
          <w:rtl/>
        </w:rPr>
        <w:t>, זולת אם קבעה לה הממשלה, באישור הוועדה, שיקולי פעולה אחרים [...]" (סעיף 4(א) לחוק). הבנה זו באשר למערך השיקולים שעל פיו נדרשת ככלל החברה הממשלתית לפעול, מחדדת את הצורך להבטיח כי החלטותיו של הדירקטור תתקבלנה באופן עצמאי ולא מתוך תלות בגורם המ</w:t>
      </w:r>
      <w:r>
        <w:rPr>
          <w:rFonts w:ascii="FrankRuehl" w:hAnsi="FrankRuehl"/>
          <w:rtl/>
        </w:rPr>
        <w:t>ְ</w:t>
      </w:r>
      <w:r>
        <w:rPr>
          <w:rFonts w:hint="cs"/>
          <w:rtl/>
        </w:rPr>
        <w:t xml:space="preserve">מנה, קרי השרים. יפים לעניין זה דבריו של פרופ' יוסף גרוס בספרו </w:t>
      </w:r>
      <w:r w:rsidRPr="00850A6A">
        <w:rPr>
          <w:rFonts w:ascii="Century" w:hAnsi="Century" w:cs="Miriam" w:hint="cs"/>
          <w:b/>
          <w:spacing w:val="0"/>
          <w:szCs w:val="24"/>
          <w:rtl/>
        </w:rPr>
        <w:t>דירקטורים ונושאי משרה בעידן הממשל התאגידי</w:t>
      </w:r>
      <w:r>
        <w:rPr>
          <w:rFonts w:hint="cs"/>
          <w:rtl/>
        </w:rPr>
        <w:t xml:space="preserve"> (מהדורה שניה, נובמבר 2011):</w:t>
      </w:r>
    </w:p>
    <w:p w:rsidR="00476343" w:rsidRDefault="00476343" w:rsidP="00476343">
      <w:pPr>
        <w:pStyle w:val="Ruller41"/>
        <w:rPr>
          <w:rtl/>
        </w:rPr>
      </w:pPr>
    </w:p>
    <w:p w:rsidR="00476343" w:rsidRDefault="00476343" w:rsidP="00476343">
      <w:pPr>
        <w:pStyle w:val="Ruller5"/>
        <w:rPr>
          <w:rtl/>
        </w:rPr>
      </w:pPr>
      <w:r>
        <w:rPr>
          <w:rFonts w:hint="cs"/>
          <w:rtl/>
        </w:rPr>
        <w:t xml:space="preserve">"לא יאוחר מיום מינויו של הדירקטור חייב הוא לנתק עצמו ממי שמינהו, והשיקול היחיד שחייב להנחותו הינו פעולה בתום לב לטובת החברה. טובת החברה אינה טובתם של בעלי השליטה. זהו מושג כללי המביא בחשבון את טובת כל בעלי המניות הנוכחים והעתידיים, את טובת העובדים, את טובת הנושים ואת טובת </w:t>
      </w:r>
      <w:proofErr w:type="spellStart"/>
      <w:r>
        <w:rPr>
          <w:rFonts w:hint="cs"/>
          <w:rtl/>
        </w:rPr>
        <w:t>הקהיליה</w:t>
      </w:r>
      <w:proofErr w:type="spellEnd"/>
      <w:r>
        <w:rPr>
          <w:rFonts w:hint="cs"/>
          <w:rtl/>
        </w:rPr>
        <w:t xml:space="preserve">. </w:t>
      </w:r>
      <w:r w:rsidRPr="00850A6A">
        <w:rPr>
          <w:rFonts w:ascii="Century" w:hAnsi="Century" w:cs="Miriam" w:hint="cs"/>
          <w:b/>
          <w:spacing w:val="0"/>
          <w:szCs w:val="24"/>
          <w:rtl/>
        </w:rPr>
        <w:t>עיקרון זה חל גם על חברה ממשלתית, השר או המנכ"ל אינם רשאים להורות לדירקטורים שמינו כיצד עליהם לקבל החלטות ולהצביע</w:t>
      </w:r>
      <w:r>
        <w:rPr>
          <w:rFonts w:hint="cs"/>
          <w:rtl/>
        </w:rPr>
        <w:t xml:space="preserve">" (שם בעמ' 8, ההדגשה הוספה </w:t>
      </w:r>
      <w:r>
        <w:rPr>
          <w:rtl/>
        </w:rPr>
        <w:t>–</w:t>
      </w:r>
      <w:r>
        <w:rPr>
          <w:rFonts w:hint="cs"/>
          <w:rtl/>
        </w:rPr>
        <w:t xml:space="preserve"> </w:t>
      </w:r>
      <w:proofErr w:type="spellStart"/>
      <w:r>
        <w:rPr>
          <w:rFonts w:hint="cs"/>
          <w:rtl/>
        </w:rPr>
        <w:t>י"ע</w:t>
      </w:r>
      <w:proofErr w:type="spellEnd"/>
      <w:r>
        <w:rPr>
          <w:rFonts w:hint="cs"/>
          <w:rtl/>
        </w:rPr>
        <w:t>).</w:t>
      </w:r>
    </w:p>
    <w:p w:rsidR="00476343" w:rsidRDefault="00476343" w:rsidP="00476343">
      <w:pPr>
        <w:pStyle w:val="Ruller5"/>
        <w:rPr>
          <w:rtl/>
        </w:rPr>
      </w:pPr>
    </w:p>
    <w:p w:rsidR="00476343" w:rsidRDefault="00476343" w:rsidP="00476343">
      <w:pPr>
        <w:pStyle w:val="Ruller5"/>
        <w:rPr>
          <w:rtl/>
        </w:rPr>
      </w:pPr>
    </w:p>
    <w:p w:rsidR="00476343" w:rsidRDefault="00476343" w:rsidP="00476343">
      <w:pPr>
        <w:pStyle w:val="Ruller41"/>
        <w:rPr>
          <w:rtl/>
        </w:rPr>
      </w:pPr>
      <w:r>
        <w:rPr>
          <w:rtl/>
        </w:rPr>
        <w:tab/>
      </w:r>
      <w:r>
        <w:rPr>
          <w:rFonts w:hint="cs"/>
          <w:rtl/>
        </w:rPr>
        <w:t xml:space="preserve">אכן, מבחינה מהותית ובכפוף לכל דין, בכך לא שונה דינו של דירקטור בחברה ממשלתית מדינו של דירקטור בחברה פרטית או ציבורית. אלה גם אלה נדרשים לשים לנגד עיניהם את טובתה של החברה, ואל להם להתפרק מחובתם להפעיל שיקול דעת עצמאי; וכשם שאסור לדירקטור בחברה פרטית או ציבורית להכפיף עצמו לרצונותיו של בעל השליטה, כך הדירקטור בחברה הממשלתית אינו בובה על חוט הנשלטת בידי השר, וזאת חרף העובדה שמינויו של הדירקטור מתבצע על ידי השרים לאחר התייעצות עם הוועדה לבדיקת מינויים (סעיף 18(א) לחוק). דברים ברוח זו הובהרו בעבר בפסיקה וכן בהנחיות היועץ המשפטי לממשלה (בג"ץ 4566/90 </w:t>
      </w:r>
      <w:r w:rsidRPr="002E6456">
        <w:rPr>
          <w:rFonts w:ascii="Century" w:hAnsi="Century" w:cs="Miriam" w:hint="eastAsia"/>
          <w:b/>
          <w:spacing w:val="0"/>
          <w:szCs w:val="24"/>
          <w:rtl/>
        </w:rPr>
        <w:t>נבון</w:t>
      </w:r>
      <w:r w:rsidRPr="002E6456">
        <w:rPr>
          <w:rFonts w:ascii="Century" w:hAnsi="Century" w:cs="Miriam"/>
          <w:b/>
          <w:spacing w:val="0"/>
          <w:szCs w:val="24"/>
          <w:rtl/>
        </w:rPr>
        <w:t xml:space="preserve"> </w:t>
      </w:r>
      <w:r w:rsidRPr="002E6456">
        <w:rPr>
          <w:rFonts w:ascii="Century" w:hAnsi="Century" w:cs="Miriam" w:hint="eastAsia"/>
          <w:b/>
          <w:spacing w:val="0"/>
          <w:szCs w:val="24"/>
          <w:rtl/>
        </w:rPr>
        <w:t>נ</w:t>
      </w:r>
      <w:r w:rsidRPr="002E6456">
        <w:rPr>
          <w:rFonts w:ascii="Century" w:hAnsi="Century" w:cs="Miriam"/>
          <w:b/>
          <w:spacing w:val="0"/>
          <w:szCs w:val="24"/>
          <w:rtl/>
        </w:rPr>
        <w:t xml:space="preserve">' </w:t>
      </w:r>
      <w:r w:rsidRPr="002E6456">
        <w:rPr>
          <w:rFonts w:ascii="Century" w:hAnsi="Century" w:cs="Miriam" w:hint="eastAsia"/>
          <w:b/>
          <w:spacing w:val="0"/>
          <w:szCs w:val="24"/>
          <w:rtl/>
        </w:rPr>
        <w:t>מנהל</w:t>
      </w:r>
      <w:r w:rsidRPr="002E6456">
        <w:rPr>
          <w:rFonts w:ascii="Century" w:hAnsi="Century" w:cs="Miriam"/>
          <w:b/>
          <w:spacing w:val="0"/>
          <w:szCs w:val="24"/>
          <w:rtl/>
        </w:rPr>
        <w:t xml:space="preserve"> </w:t>
      </w:r>
      <w:r w:rsidRPr="002E6456">
        <w:rPr>
          <w:rFonts w:ascii="Century" w:hAnsi="Century" w:cs="Miriam" w:hint="eastAsia"/>
          <w:b/>
          <w:spacing w:val="0"/>
          <w:szCs w:val="24"/>
          <w:rtl/>
        </w:rPr>
        <w:t>רשות</w:t>
      </w:r>
      <w:r w:rsidRPr="002E6456">
        <w:rPr>
          <w:rFonts w:ascii="Century" w:hAnsi="Century" w:cs="Miriam"/>
          <w:b/>
          <w:spacing w:val="0"/>
          <w:szCs w:val="24"/>
          <w:rtl/>
        </w:rPr>
        <w:t xml:space="preserve"> </w:t>
      </w:r>
      <w:r w:rsidRPr="002E6456">
        <w:rPr>
          <w:rFonts w:ascii="Century" w:hAnsi="Century" w:cs="Miriam" w:hint="eastAsia"/>
          <w:b/>
          <w:spacing w:val="0"/>
          <w:szCs w:val="24"/>
          <w:rtl/>
        </w:rPr>
        <w:t>החברות</w:t>
      </w:r>
      <w:r w:rsidRPr="002E6456">
        <w:rPr>
          <w:rFonts w:ascii="Century" w:hAnsi="Century" w:cs="Miriam"/>
          <w:b/>
          <w:spacing w:val="0"/>
          <w:szCs w:val="24"/>
          <w:rtl/>
        </w:rPr>
        <w:t xml:space="preserve"> </w:t>
      </w:r>
      <w:r w:rsidRPr="002E6456">
        <w:rPr>
          <w:rFonts w:ascii="Century" w:hAnsi="Century" w:cs="Miriam" w:hint="eastAsia"/>
          <w:b/>
          <w:spacing w:val="0"/>
          <w:szCs w:val="24"/>
          <w:rtl/>
        </w:rPr>
        <w:t>הממשלתיות</w:t>
      </w:r>
      <w:r>
        <w:rPr>
          <w:rFonts w:hint="cs"/>
          <w:rtl/>
        </w:rPr>
        <w:t>, פסקה 56 (18.11.2019); הנחיית היועץ המשפטי לממשלה מס' 6.5000 "מינויים בחברות ממשלתיות ובתאגידים ציבוריים" בעמ' 32).</w:t>
      </w:r>
    </w:p>
    <w:p w:rsidR="00476343" w:rsidRDefault="00476343" w:rsidP="00476343">
      <w:pPr>
        <w:pStyle w:val="Ruller41"/>
        <w:rPr>
          <w:rtl/>
        </w:rPr>
      </w:pPr>
    </w:p>
    <w:p w:rsidR="00476343" w:rsidRDefault="00476343" w:rsidP="00476343">
      <w:pPr>
        <w:pStyle w:val="Ruller41"/>
        <w:rPr>
          <w:rtl/>
        </w:rPr>
      </w:pPr>
      <w:r>
        <w:rPr>
          <w:rFonts w:hint="cs"/>
          <w:rtl/>
        </w:rPr>
        <w:t>9.</w:t>
      </w:r>
      <w:r>
        <w:rPr>
          <w:rFonts w:hint="cs"/>
          <w:rtl/>
        </w:rPr>
        <w:tab/>
      </w:r>
      <w:r w:rsidRPr="006B04B6">
        <w:rPr>
          <w:rFonts w:ascii="Century" w:hAnsi="Century" w:hint="cs"/>
          <w:rtl/>
        </w:rPr>
        <w:t xml:space="preserve">תנאי </w:t>
      </w:r>
      <w:r w:rsidRPr="00903B15">
        <w:rPr>
          <w:rFonts w:ascii="Century" w:hAnsi="Century" w:cs="Miriam" w:hint="cs"/>
          <w:b/>
          <w:spacing w:val="0"/>
          <w:szCs w:val="24"/>
          <w:rtl/>
        </w:rPr>
        <w:t>הכשירות</w:t>
      </w:r>
      <w:r w:rsidRPr="00903B15">
        <w:rPr>
          <w:rFonts w:hint="cs"/>
          <w:rtl/>
        </w:rPr>
        <w:t xml:space="preserve"> </w:t>
      </w:r>
      <w:r>
        <w:rPr>
          <w:rFonts w:hint="cs"/>
          <w:rtl/>
        </w:rPr>
        <w:t xml:space="preserve">לכהונת דירקטור בחברה ממשלתית ניצבים בשער </w:t>
      </w:r>
      <w:r w:rsidRPr="006B04B6">
        <w:rPr>
          <w:rFonts w:ascii="Century" w:hAnsi="Century" w:cs="Miriam" w:hint="cs"/>
          <w:b/>
          <w:spacing w:val="0"/>
          <w:szCs w:val="24"/>
          <w:rtl/>
        </w:rPr>
        <w:t>הכניסה</w:t>
      </w:r>
      <w:r>
        <w:rPr>
          <w:rFonts w:hint="cs"/>
          <w:rtl/>
        </w:rPr>
        <w:t xml:space="preserve"> אל הדירקטוריון (סעיף 16א לחוק). תנאים אלה נועדו, בין היתר, להבטיח מלכתחילה כי ייבחר מועמד מתאים ובלתי תלוי. לעומת זאת, תנאי </w:t>
      </w:r>
      <w:r w:rsidRPr="006B04B6">
        <w:rPr>
          <w:rFonts w:ascii="Century" w:hAnsi="Century" w:cs="Miriam" w:hint="cs"/>
          <w:b/>
          <w:spacing w:val="0"/>
          <w:szCs w:val="24"/>
          <w:rtl/>
        </w:rPr>
        <w:t>פקיעת הכהונה</w:t>
      </w:r>
      <w:r>
        <w:rPr>
          <w:rFonts w:hint="cs"/>
          <w:rtl/>
        </w:rPr>
        <w:t xml:space="preserve"> של דירקטור בחברה ממשלתית ניצבים</w:t>
      </w:r>
      <w:r w:rsidRPr="006B04B6">
        <w:rPr>
          <w:rFonts w:ascii="Century" w:hAnsi="Century" w:hint="cs"/>
          <w:rtl/>
        </w:rPr>
        <w:t xml:space="preserve"> בשער </w:t>
      </w:r>
      <w:r w:rsidRPr="006B04B6">
        <w:rPr>
          <w:rFonts w:ascii="Century" w:hAnsi="Century" w:cs="Miriam" w:hint="cs"/>
          <w:b/>
          <w:spacing w:val="0"/>
          <w:szCs w:val="24"/>
          <w:rtl/>
        </w:rPr>
        <w:t>היציאה</w:t>
      </w:r>
      <w:r>
        <w:rPr>
          <w:rFonts w:hint="cs"/>
          <w:rtl/>
        </w:rPr>
        <w:t xml:space="preserve"> מן הדירקטוריון (סעיף 22(א) לחוק). תנאים אלה נועדו להבטיח שהפסקת כהונה של דירקטור בחברה ממשלתית בטרם נסתיימה תקופת מינויו, תיעשה גם היא מטעמים ענייניים בלבד. ואכן, בשונה מההסדר שחל לגבי חברות שאינן ממשלתיות (סעיף 230 לחוק החברות, התשנ"ט-1999), ההסדר בחוק החברות הממשלתיות מצמצם את האפשרות להביא לסיום כהונתו של דירקטור בטרם נסתיימה </w:t>
      </w:r>
      <w:r>
        <w:rPr>
          <w:rFonts w:hint="cs"/>
          <w:rtl/>
        </w:rPr>
        <w:lastRenderedPageBreak/>
        <w:t xml:space="preserve">כהונתו, ומאפשר לעשות כן רק בהתקיים עילות ספציפיות (סעיף 22(א) לחוק). שני סוגי התנאים </w:t>
      </w:r>
      <w:r>
        <w:rPr>
          <w:rtl/>
        </w:rPr>
        <w:t>–</w:t>
      </w:r>
      <w:r>
        <w:rPr>
          <w:rFonts w:hint="cs"/>
          <w:rtl/>
        </w:rPr>
        <w:t xml:space="preserve"> תנאי הכשירות ותנאי סיום הכהונה </w:t>
      </w:r>
      <w:r>
        <w:rPr>
          <w:rtl/>
        </w:rPr>
        <w:t>–</w:t>
      </w:r>
      <w:r>
        <w:rPr>
          <w:rFonts w:hint="cs"/>
          <w:rtl/>
        </w:rPr>
        <w:t xml:space="preserve"> מהווים אפוא נדבך שנועד, בין היתר, להבטיח את עצמאותם של הדירקטורים בחברות הממשלתיות.</w:t>
      </w:r>
    </w:p>
    <w:p w:rsidR="00476343" w:rsidRDefault="00476343" w:rsidP="00476343">
      <w:pPr>
        <w:pStyle w:val="Ruller41"/>
        <w:rPr>
          <w:rtl/>
        </w:rPr>
      </w:pPr>
    </w:p>
    <w:p w:rsidR="00476343" w:rsidRDefault="00476343" w:rsidP="00476343">
      <w:pPr>
        <w:pStyle w:val="Ruller41"/>
        <w:rPr>
          <w:rtl/>
        </w:rPr>
      </w:pPr>
      <w:r>
        <w:rPr>
          <w:rFonts w:hint="cs"/>
          <w:rtl/>
        </w:rPr>
        <w:t>10.</w:t>
      </w:r>
      <w:r>
        <w:rPr>
          <w:rtl/>
        </w:rPr>
        <w:tab/>
      </w:r>
      <w:r>
        <w:rPr>
          <w:rFonts w:hint="cs"/>
          <w:rtl/>
        </w:rPr>
        <w:t>כפי שפירט חברי בחוות דעתו, ההוראה הרלוונטית לענייננו היא הוראת פקיעת הכהונה המעוגנת בסעיף 22(א)(6) לחוק. הוראה זו מאפשרת להביא לסיום כהונתו של דירקטור אם רשות החברות הממשלתיות או השרים בהתייעצות עמה, נוכחו לדעת כי הדירקטור "</w:t>
      </w:r>
      <w:r w:rsidRPr="00D101FA">
        <w:rPr>
          <w:rFonts w:ascii="Century" w:hAnsi="Century" w:cs="Miriam" w:hint="cs"/>
          <w:b/>
          <w:spacing w:val="0"/>
          <w:szCs w:val="24"/>
          <w:rtl/>
        </w:rPr>
        <w:t>אינו ממלא תפקידו כראוי</w:t>
      </w:r>
      <w:r>
        <w:rPr>
          <w:rFonts w:hint="cs"/>
          <w:rtl/>
        </w:rPr>
        <w:t xml:space="preserve">". [במאמר מוסגר: הוראת דומה מצויה בשורה ארוכה של דברי חקיקה, לדוגמה: סעיף 14(1) לחוק בנק ישראל, התש"ע-2010 שעוסק בהפסקת כהונה של המשנה לנגיד בנק ישראל; סעיף 29(א)(5) לחוק משק החשמל, התשנ"ו-1996 שעוסק בהפסקת כהונה של חבר רשות החשמל; וסעיף 2(ד) לחוק רשות מקרקעי ישראל, התש"ך-1960 שעוסק בהפסקת כהונה של מנהל הרשות]. </w:t>
      </w:r>
    </w:p>
    <w:p w:rsidR="00476343" w:rsidRDefault="00476343" w:rsidP="00476343">
      <w:pPr>
        <w:pStyle w:val="Ruller41"/>
        <w:rPr>
          <w:rtl/>
        </w:rPr>
      </w:pPr>
    </w:p>
    <w:p w:rsidR="00476343" w:rsidRDefault="00476343" w:rsidP="00476343">
      <w:pPr>
        <w:pStyle w:val="Ruller41"/>
        <w:rPr>
          <w:rtl/>
        </w:rPr>
      </w:pPr>
      <w:r>
        <w:rPr>
          <w:rtl/>
        </w:rPr>
        <w:tab/>
      </w:r>
      <w:r>
        <w:rPr>
          <w:rFonts w:hint="cs"/>
          <w:rtl/>
        </w:rPr>
        <w:t xml:space="preserve">בראי הדיון לעיל בנוגע לחשיבות שימור עצמאותו של הדירקטור בחברה הממשלתית, ברי כי בקבעו הוראה זו שמאפשרת הפסקת כהונה של דירקטור ש"אינו ממלא תפקידו כראוי", המחוקק לא ביקש לאפשר מצב שבו חרב הפיטורין תרחף מעל ראשו של דירקטור כל אימת שהלה יקבל החלטות שאינן תואמות את רצונו של השר. שאם לא כן, היה בכך כדי לפגוע פגיעה אנושה בעקרון העצמאות של הדירקטור. מובן אפוא כי החלטה מסוג זה בדבר הפסקת כהונה של דירקטור, טעונה ביסוס עובדתי שמצביע על תפקוד </w:t>
      </w:r>
      <w:r w:rsidRPr="007743B1">
        <w:rPr>
          <w:rFonts w:ascii="Century" w:hAnsi="Century" w:cs="Miriam" w:hint="cs"/>
          <w:b/>
          <w:spacing w:val="0"/>
          <w:szCs w:val="24"/>
          <w:rtl/>
        </w:rPr>
        <w:t>מקצועי</w:t>
      </w:r>
      <w:r w:rsidRPr="007743B1">
        <w:rPr>
          <w:rFonts w:hint="cs"/>
          <w:rtl/>
        </w:rPr>
        <w:t xml:space="preserve"> </w:t>
      </w:r>
      <w:r>
        <w:rPr>
          <w:rFonts w:hint="cs"/>
          <w:rtl/>
        </w:rPr>
        <w:t xml:space="preserve">לקוי של הדירקטור, ובעניין זה אין לי אלא להסכים עם הדגשתו של חברי כי לצורך כך יש להניח "תשתית </w:t>
      </w:r>
      <w:r w:rsidRPr="007743B1">
        <w:rPr>
          <w:rFonts w:ascii="Century" w:hAnsi="Century" w:cs="Miriam" w:hint="cs"/>
          <w:b/>
          <w:spacing w:val="0"/>
          <w:szCs w:val="24"/>
          <w:rtl/>
        </w:rPr>
        <w:t>מוצקה, מבוססת וברורה</w:t>
      </w:r>
      <w:r>
        <w:rPr>
          <w:rFonts w:hint="cs"/>
          <w:rtl/>
        </w:rPr>
        <w:t xml:space="preserve"> בדבר סטייה מההתנהלות המצופה מדירקטור [...] הנסמכת על תפקודו </w:t>
      </w:r>
      <w:r w:rsidRPr="007743B1">
        <w:rPr>
          <w:rFonts w:ascii="Century" w:hAnsi="Century" w:cs="Miriam" w:hint="cs"/>
          <w:b/>
          <w:spacing w:val="0"/>
          <w:szCs w:val="24"/>
          <w:rtl/>
        </w:rPr>
        <w:t>המקצועי</w:t>
      </w:r>
      <w:r>
        <w:rPr>
          <w:rFonts w:hint="cs"/>
          <w:rtl/>
        </w:rPr>
        <w:t xml:space="preserve"> של הדירקטור" (פסקה 32 לחוות דעתו, ההדגשות במקור). כפי שהבהיר חברי, לא זה המקרה שלפנינו.</w:t>
      </w:r>
    </w:p>
    <w:p w:rsidR="00476343" w:rsidRDefault="00476343" w:rsidP="00476343">
      <w:pPr>
        <w:pStyle w:val="Ruller41"/>
        <w:rPr>
          <w:rtl/>
        </w:rPr>
      </w:pPr>
    </w:p>
    <w:p w:rsidR="00476343" w:rsidRDefault="00476343" w:rsidP="00476343">
      <w:pPr>
        <w:pStyle w:val="Ruller41"/>
        <w:rPr>
          <w:rtl/>
        </w:rPr>
      </w:pPr>
      <w:r>
        <w:rPr>
          <w:rFonts w:hint="cs"/>
          <w:rtl/>
        </w:rPr>
        <w:t>11.</w:t>
      </w:r>
      <w:r>
        <w:rPr>
          <w:rtl/>
        </w:rPr>
        <w:tab/>
      </w:r>
      <w:r>
        <w:rPr>
          <w:rFonts w:hint="cs"/>
          <w:rtl/>
        </w:rPr>
        <w:t xml:space="preserve">סוף דבר, שאני מצטרף כאמור לפסק דינו של חברי, השופט </w:t>
      </w:r>
      <w:r w:rsidRPr="002E6456">
        <w:rPr>
          <w:rFonts w:ascii="Century" w:hAnsi="Century" w:cs="Miriam" w:hint="eastAsia"/>
          <w:b/>
          <w:spacing w:val="0"/>
          <w:szCs w:val="24"/>
          <w:rtl/>
        </w:rPr>
        <w:t>ד</w:t>
      </w:r>
      <w:r w:rsidRPr="002E6456">
        <w:rPr>
          <w:rFonts w:ascii="Century" w:hAnsi="Century" w:cs="Miriam"/>
          <w:b/>
          <w:spacing w:val="0"/>
          <w:szCs w:val="24"/>
          <w:rtl/>
        </w:rPr>
        <w:t xml:space="preserve">' </w:t>
      </w:r>
      <w:r w:rsidRPr="002E6456">
        <w:rPr>
          <w:rFonts w:ascii="Century" w:hAnsi="Century" w:cs="Miriam" w:hint="eastAsia"/>
          <w:b/>
          <w:spacing w:val="0"/>
          <w:szCs w:val="24"/>
          <w:rtl/>
        </w:rPr>
        <w:t>מינץ</w:t>
      </w:r>
      <w:r>
        <w:rPr>
          <w:rFonts w:hint="cs"/>
          <w:rtl/>
        </w:rPr>
        <w:t>.</w:t>
      </w:r>
    </w:p>
    <w:p w:rsidR="00476343" w:rsidRPr="0024615A" w:rsidRDefault="00476343" w:rsidP="00476343">
      <w:pPr>
        <w:pStyle w:val="Ruller41"/>
      </w:pPr>
    </w:p>
    <w:p w:rsidR="00476343" w:rsidRDefault="00476343" w:rsidP="00A51FAE">
      <w:pPr>
        <w:pStyle w:val="Ruller41"/>
        <w:rPr>
          <w:rtl/>
        </w:rPr>
      </w:pPr>
      <w:r>
        <w:rPr>
          <w:rFonts w:hint="cs"/>
          <w:rtl/>
        </w:rPr>
        <w:t xml:space="preserve"> </w:t>
      </w:r>
    </w:p>
    <w:p w:rsidR="00476343" w:rsidRDefault="00476343" w:rsidP="00476343">
      <w:pPr>
        <w:pStyle w:val="Ruller41"/>
        <w:jc w:val="right"/>
        <w:rPr>
          <w:rtl/>
        </w:rPr>
      </w:pPr>
      <w:r>
        <w:rPr>
          <w:rtl/>
        </w:rPr>
        <w:tab/>
      </w:r>
      <w:r>
        <w:rPr>
          <w:rFonts w:hint="cs"/>
          <w:rtl/>
        </w:rPr>
        <w:t xml:space="preserve"> ש ו פ ט</w:t>
      </w:r>
    </w:p>
    <w:p w:rsidR="00476343" w:rsidRDefault="00476343" w:rsidP="00A51FAE">
      <w:pPr>
        <w:pStyle w:val="Ruller41"/>
        <w:rPr>
          <w:rtl/>
        </w:rPr>
      </w:pPr>
    </w:p>
    <w:p w:rsidR="00433434" w:rsidRDefault="00433434" w:rsidP="00433434">
      <w:pPr>
        <w:pStyle w:val="BODYVERDICT"/>
      </w:pPr>
    </w:p>
    <w:p w:rsidR="00433434" w:rsidRDefault="00433434" w:rsidP="00433434">
      <w:pPr>
        <w:pStyle w:val="BODYVERDICT"/>
        <w:rPr>
          <w:rFonts w:cs="Miriam"/>
          <w:sz w:val="24"/>
          <w:szCs w:val="24"/>
          <w:rtl/>
        </w:rPr>
      </w:pPr>
      <w:r>
        <w:rPr>
          <w:rFonts w:cs="Miriam"/>
          <w:sz w:val="24"/>
          <w:szCs w:val="24"/>
          <w:u w:val="single"/>
          <w:rtl/>
        </w:rPr>
        <w:t>השופט ח' כבוב</w:t>
      </w:r>
      <w:r>
        <w:rPr>
          <w:rFonts w:cs="Miriam" w:hint="cs"/>
          <w:sz w:val="24"/>
          <w:szCs w:val="24"/>
          <w:rtl/>
        </w:rPr>
        <w:t>:</w:t>
      </w:r>
    </w:p>
    <w:p w:rsidR="00433434" w:rsidRPr="00435653" w:rsidRDefault="00433434" w:rsidP="008A79B6">
      <w:pPr>
        <w:pStyle w:val="Ruller4"/>
        <w:numPr>
          <w:ilvl w:val="0"/>
          <w:numId w:val="0"/>
        </w:numPr>
        <w:tabs>
          <w:tab w:val="clear" w:pos="800"/>
        </w:tabs>
        <w:overflowPunct/>
        <w:autoSpaceDE/>
        <w:autoSpaceDN/>
        <w:adjustRightInd/>
        <w:spacing w:before="240" w:after="240"/>
        <w:ind w:firstLine="720"/>
        <w:textAlignment w:val="auto"/>
        <w:rPr>
          <w:rtl/>
        </w:rPr>
      </w:pPr>
      <w:r w:rsidRPr="00435653">
        <w:rPr>
          <w:rFonts w:hint="cs"/>
          <w:rtl/>
        </w:rPr>
        <w:t xml:space="preserve">אני מצטרף לחוות דעתם המקיפות של חבריי, השופט </w:t>
      </w:r>
      <w:r w:rsidRPr="00433434">
        <w:rPr>
          <w:rFonts w:ascii="Century" w:hAnsi="Century" w:cs="Miriam" w:hint="cs"/>
          <w:b/>
          <w:spacing w:val="0"/>
          <w:sz w:val="22"/>
          <w:szCs w:val="24"/>
          <w:rtl/>
        </w:rPr>
        <w:t>ד' מינץ</w:t>
      </w:r>
      <w:r w:rsidRPr="00433434">
        <w:rPr>
          <w:rFonts w:ascii="Century" w:hAnsi="Century" w:hint="cs"/>
          <w:sz w:val="22"/>
          <w:rtl/>
        </w:rPr>
        <w:t xml:space="preserve"> והשופט </w:t>
      </w:r>
      <w:r w:rsidRPr="00433434">
        <w:rPr>
          <w:rFonts w:ascii="Century" w:hAnsi="Century" w:cs="Miriam" w:hint="cs"/>
          <w:b/>
          <w:spacing w:val="0"/>
          <w:sz w:val="22"/>
          <w:szCs w:val="24"/>
          <w:rtl/>
        </w:rPr>
        <w:t>י' עמית</w:t>
      </w:r>
      <w:r w:rsidRPr="00433434">
        <w:rPr>
          <w:rFonts w:ascii="Century" w:hAnsi="Century" w:hint="cs"/>
          <w:sz w:val="22"/>
          <w:rtl/>
        </w:rPr>
        <w:t>,</w:t>
      </w:r>
      <w:r w:rsidRPr="00435653">
        <w:rPr>
          <w:rFonts w:hint="cs"/>
          <w:rtl/>
        </w:rPr>
        <w:t xml:space="preserve"> אשר דנו באופן מעמיק בסוגיות הציבוריות והפרטיות המתעוררות בענייננו </w:t>
      </w:r>
      <w:r w:rsidRPr="00435653">
        <w:rPr>
          <w:rtl/>
        </w:rPr>
        <w:t>–</w:t>
      </w:r>
      <w:r w:rsidRPr="00435653">
        <w:rPr>
          <w:rFonts w:hint="cs"/>
          <w:rtl/>
        </w:rPr>
        <w:t xml:space="preserve"> הן במישור העקרוני, הן בנסיבותיו הפרטניות של המקרה שלפנינו. </w:t>
      </w:r>
    </w:p>
    <w:p w:rsidR="00433434" w:rsidRPr="00435653" w:rsidRDefault="00433434" w:rsidP="008A79B6">
      <w:pPr>
        <w:pStyle w:val="Ruller41"/>
        <w:rPr>
          <w:rtl/>
        </w:rPr>
      </w:pPr>
      <w:r w:rsidRPr="00435653">
        <w:rPr>
          <w:rFonts w:hint="cs"/>
          <w:rtl/>
        </w:rPr>
        <w:lastRenderedPageBreak/>
        <w:t xml:space="preserve">לצד זאת, מצאתי גם אני להוסיף מספר הערות בנוגע </w:t>
      </w:r>
      <w:r>
        <w:rPr>
          <w:rFonts w:hint="cs"/>
          <w:rtl/>
        </w:rPr>
        <w:t>לאופיין הייחודי</w:t>
      </w:r>
      <w:r w:rsidRPr="00435653">
        <w:rPr>
          <w:rFonts w:hint="cs"/>
          <w:rtl/>
        </w:rPr>
        <w:t xml:space="preserve"> של חברות ממשלתיות, ובקשר לבעיית הנציג הייחודית</w:t>
      </w:r>
      <w:r w:rsidRPr="00435653">
        <w:rPr>
          <w:rFonts w:ascii="Century" w:hAnsi="Century" w:hint="cs"/>
          <w:rtl/>
        </w:rPr>
        <w:t xml:space="preserve"> המתעוררת בחברות אלו, בין היתר, בשל הדואליות הפונקציונלית שמאפיינת אותן</w:t>
      </w:r>
      <w:r w:rsidRPr="00435653">
        <w:rPr>
          <w:rFonts w:hint="cs"/>
          <w:rtl/>
        </w:rPr>
        <w:t xml:space="preserve">. זאת, בשים לב לתפקידן המרכזי של </w:t>
      </w:r>
      <w:r w:rsidRPr="00435653">
        <w:rPr>
          <w:rFonts w:ascii="Century" w:hAnsi="Century" w:hint="cs"/>
          <w:rtl/>
        </w:rPr>
        <w:t>החברות</w:t>
      </w:r>
      <w:r w:rsidRPr="00435653">
        <w:rPr>
          <w:rFonts w:hint="cs"/>
          <w:rtl/>
        </w:rPr>
        <w:t xml:space="preserve"> הממשלתיות בכלכלה הישראלית, כמו גם במערכת השלטונית הקיימת. בפרט אתייחס למעמדה, וחשיבותה, של רשות החברות הממשלתיות, כגוף המאסדר האמון על פיקוח ובקרת פעילותן של חברות אלו </w:t>
      </w:r>
      <w:r w:rsidRPr="00435653">
        <w:rPr>
          <w:rtl/>
        </w:rPr>
        <w:t>–</w:t>
      </w:r>
      <w:r w:rsidRPr="00435653">
        <w:rPr>
          <w:rFonts w:hint="cs"/>
          <w:rtl/>
        </w:rPr>
        <w:t xml:space="preserve"> ואשר ההתעלמות מקולה בנסיבות ענייננו, אינה ראויה ואינה רצויה. והכל, בשים לב </w:t>
      </w:r>
      <w:r w:rsidRPr="00435653">
        <w:rPr>
          <w:rFonts w:ascii="Century" w:hAnsi="Century" w:hint="cs"/>
          <w:rtl/>
        </w:rPr>
        <w:t>לאפיון הדין החל על חברות ממשלתיות כבעל דואליות נורמטיבית</w:t>
      </w:r>
      <w:r w:rsidRPr="00435653">
        <w:rPr>
          <w:rFonts w:hint="cs"/>
          <w:rtl/>
        </w:rPr>
        <w:t xml:space="preserve">; ותוך הארת הזווית התאגידית, דרכה ניבטים הפגמים אשר נפלו בהחלטת השרים בענייננו. </w:t>
      </w:r>
    </w:p>
    <w:p w:rsidR="00433434" w:rsidRPr="00435653" w:rsidRDefault="00433434" w:rsidP="00433434">
      <w:pPr>
        <w:pStyle w:val="Ruller41"/>
        <w:spacing w:before="240" w:after="240"/>
        <w:rPr>
          <w:rFonts w:ascii="Century" w:hAnsi="Century" w:cs="Miriam"/>
          <w:b/>
          <w:spacing w:val="0"/>
          <w:szCs w:val="24"/>
          <w:rtl/>
        </w:rPr>
      </w:pPr>
      <w:r w:rsidRPr="00435653">
        <w:rPr>
          <w:rFonts w:ascii="Century" w:hAnsi="Century" w:cs="Miriam" w:hint="cs"/>
          <w:b/>
          <w:spacing w:val="0"/>
          <w:szCs w:val="24"/>
          <w:rtl/>
        </w:rPr>
        <w:t xml:space="preserve">אקדמת </w:t>
      </w:r>
      <w:proofErr w:type="spellStart"/>
      <w:r w:rsidRPr="00435653">
        <w:rPr>
          <w:rFonts w:ascii="Century" w:hAnsi="Century" w:cs="Miriam" w:hint="cs"/>
          <w:b/>
          <w:spacing w:val="0"/>
          <w:szCs w:val="24"/>
          <w:rtl/>
        </w:rPr>
        <w:t>מילין</w:t>
      </w:r>
      <w:proofErr w:type="spellEnd"/>
    </w:p>
    <w:p w:rsidR="00433434" w:rsidRPr="008A79B6" w:rsidRDefault="00433434" w:rsidP="008A79B6">
      <w:pPr>
        <w:pStyle w:val="Ruller4"/>
        <w:numPr>
          <w:ilvl w:val="0"/>
          <w:numId w:val="32"/>
        </w:numPr>
        <w:spacing w:before="240" w:after="240"/>
        <w:rPr>
          <w:rFonts w:ascii="Century" w:hAnsi="Century"/>
          <w:sz w:val="22"/>
        </w:rPr>
      </w:pPr>
      <w:r w:rsidRPr="008A79B6">
        <w:rPr>
          <w:rFonts w:ascii="Century" w:hAnsi="Century" w:hint="eastAsia"/>
          <w:sz w:val="22"/>
          <w:rtl/>
        </w:rPr>
        <w:t>סעיף</w:t>
      </w:r>
      <w:r w:rsidRPr="008A79B6">
        <w:rPr>
          <w:rFonts w:ascii="Century" w:hAnsi="Century"/>
          <w:sz w:val="22"/>
          <w:rtl/>
        </w:rPr>
        <w:t xml:space="preserve"> 1(</w:t>
      </w:r>
      <w:r w:rsidRPr="008A79B6">
        <w:rPr>
          <w:rFonts w:ascii="Century" w:hAnsi="Century" w:hint="eastAsia"/>
          <w:sz w:val="22"/>
          <w:rtl/>
        </w:rPr>
        <w:t>א</w:t>
      </w:r>
      <w:r w:rsidRPr="008A79B6">
        <w:rPr>
          <w:rFonts w:ascii="Century" w:hAnsi="Century"/>
          <w:sz w:val="22"/>
          <w:rtl/>
        </w:rPr>
        <w:t xml:space="preserve">) </w:t>
      </w:r>
      <w:r w:rsidRPr="008A79B6">
        <w:rPr>
          <w:rFonts w:ascii="Century" w:hAnsi="Century" w:hint="eastAsia"/>
          <w:sz w:val="22"/>
          <w:rtl/>
        </w:rPr>
        <w:t>לחוק</w:t>
      </w:r>
      <w:r w:rsidRPr="008A79B6">
        <w:rPr>
          <w:rFonts w:ascii="Century" w:hAnsi="Century"/>
          <w:sz w:val="22"/>
          <w:rtl/>
        </w:rPr>
        <w:t xml:space="preserve"> </w:t>
      </w:r>
      <w:r w:rsidRPr="008A79B6">
        <w:rPr>
          <w:rFonts w:ascii="Century" w:hAnsi="Century" w:hint="eastAsia"/>
          <w:sz w:val="22"/>
          <w:rtl/>
        </w:rPr>
        <w:t>החברות</w:t>
      </w:r>
      <w:r w:rsidRPr="008A79B6">
        <w:rPr>
          <w:rFonts w:ascii="Century" w:hAnsi="Century"/>
          <w:sz w:val="22"/>
          <w:rtl/>
        </w:rPr>
        <w:t xml:space="preserve"> </w:t>
      </w:r>
      <w:r w:rsidRPr="008A79B6">
        <w:rPr>
          <w:rFonts w:ascii="Century" w:hAnsi="Century" w:hint="eastAsia"/>
          <w:sz w:val="22"/>
          <w:rtl/>
        </w:rPr>
        <w:t>הממשלתיות</w:t>
      </w:r>
      <w:r w:rsidRPr="008A79B6">
        <w:rPr>
          <w:rFonts w:ascii="Century" w:hAnsi="Century" w:hint="cs"/>
          <w:sz w:val="22"/>
          <w:rtl/>
        </w:rPr>
        <w:t xml:space="preserve">, </w:t>
      </w:r>
      <w:r w:rsidRPr="00435653">
        <w:rPr>
          <w:rFonts w:hint="cs"/>
          <w:rtl/>
        </w:rPr>
        <w:t xml:space="preserve">התשל"ה-1975 (להלן: </w:t>
      </w:r>
      <w:r w:rsidRPr="008A79B6">
        <w:rPr>
          <w:rFonts w:ascii="Century" w:hAnsi="Century" w:cs="Miriam" w:hint="cs"/>
          <w:b/>
          <w:spacing w:val="0"/>
          <w:szCs w:val="24"/>
          <w:rtl/>
        </w:rPr>
        <w:t xml:space="preserve">החוק </w:t>
      </w:r>
      <w:r w:rsidRPr="008A79B6">
        <w:rPr>
          <w:rFonts w:ascii="Century" w:hAnsi="Century" w:hint="cs"/>
          <w:rtl/>
        </w:rPr>
        <w:t xml:space="preserve">או </w:t>
      </w:r>
      <w:r w:rsidRPr="008A79B6">
        <w:rPr>
          <w:rFonts w:ascii="Century" w:hAnsi="Century" w:cs="Miriam" w:hint="cs"/>
          <w:b/>
          <w:spacing w:val="0"/>
          <w:szCs w:val="24"/>
          <w:rtl/>
        </w:rPr>
        <w:t>חוק החברות הממשלתיות</w:t>
      </w:r>
      <w:r w:rsidRPr="00435653">
        <w:rPr>
          <w:rFonts w:hint="cs"/>
          <w:rtl/>
        </w:rPr>
        <w:t xml:space="preserve">) </w:t>
      </w:r>
      <w:r w:rsidRPr="008A79B6">
        <w:rPr>
          <w:rFonts w:ascii="Century" w:hAnsi="Century"/>
          <w:sz w:val="22"/>
          <w:rtl/>
        </w:rPr>
        <w:t xml:space="preserve"> </w:t>
      </w:r>
      <w:r w:rsidRPr="008A79B6">
        <w:rPr>
          <w:rFonts w:ascii="Century" w:hAnsi="Century" w:hint="eastAsia"/>
          <w:sz w:val="22"/>
          <w:rtl/>
        </w:rPr>
        <w:t>מגדיר</w:t>
      </w:r>
      <w:r w:rsidRPr="008A79B6">
        <w:rPr>
          <w:rFonts w:ascii="Century" w:hAnsi="Century"/>
          <w:sz w:val="22"/>
          <w:rtl/>
        </w:rPr>
        <w:t xml:space="preserve"> </w:t>
      </w:r>
      <w:r w:rsidRPr="008A79B6">
        <w:rPr>
          <w:rFonts w:ascii="Century" w:hAnsi="Century" w:hint="eastAsia"/>
          <w:sz w:val="22"/>
          <w:rtl/>
        </w:rPr>
        <w:t>חברה</w:t>
      </w:r>
      <w:r w:rsidRPr="008A79B6">
        <w:rPr>
          <w:rFonts w:ascii="Century" w:hAnsi="Century"/>
          <w:sz w:val="22"/>
          <w:rtl/>
        </w:rPr>
        <w:t xml:space="preserve"> </w:t>
      </w:r>
      <w:r w:rsidRPr="008A79B6">
        <w:rPr>
          <w:rFonts w:ascii="Century" w:hAnsi="Century" w:hint="eastAsia"/>
          <w:sz w:val="22"/>
          <w:rtl/>
        </w:rPr>
        <w:t>ממשלתית</w:t>
      </w:r>
      <w:r w:rsidRPr="008A79B6">
        <w:rPr>
          <w:rFonts w:ascii="Century" w:hAnsi="Century"/>
          <w:sz w:val="22"/>
          <w:rtl/>
        </w:rPr>
        <w:t xml:space="preserve"> </w:t>
      </w:r>
      <w:r w:rsidRPr="008A79B6">
        <w:rPr>
          <w:rFonts w:ascii="Century" w:hAnsi="Century" w:hint="eastAsia"/>
          <w:sz w:val="22"/>
          <w:rtl/>
        </w:rPr>
        <w:t>כך</w:t>
      </w:r>
      <w:r w:rsidRPr="008A79B6">
        <w:rPr>
          <w:rFonts w:ascii="Century" w:hAnsi="Century"/>
          <w:sz w:val="22"/>
          <w:rtl/>
        </w:rPr>
        <w:t xml:space="preserve">: </w:t>
      </w:r>
    </w:p>
    <w:p w:rsidR="00433434" w:rsidRPr="00435653" w:rsidRDefault="00433434" w:rsidP="00433434">
      <w:pPr>
        <w:pStyle w:val="Ruller5"/>
        <w:rPr>
          <w:rFonts w:ascii="Garamond" w:hAnsi="Garamond"/>
          <w:sz w:val="24"/>
          <w:rtl/>
        </w:rPr>
      </w:pPr>
      <w:r w:rsidRPr="00435653">
        <w:rPr>
          <w:rtl/>
        </w:rPr>
        <w:t xml:space="preserve">"חברה שיותר ממחצית כוח ההצבעה באספותיה הכלליות או הזכות למנות יותר ממחצית מספר הדירקטורים שלה הם בידי המדינה או בידי המדינה יחד עם חברה ממשלתית או חברת בת ממשלתית".  </w:t>
      </w:r>
    </w:p>
    <w:p w:rsidR="008A79B6" w:rsidRDefault="008A79B6" w:rsidP="008A79B6">
      <w:pPr>
        <w:pStyle w:val="Ruller41"/>
        <w:rPr>
          <w:rtl/>
        </w:rPr>
      </w:pPr>
    </w:p>
    <w:p w:rsidR="00433434" w:rsidRPr="00435653" w:rsidRDefault="00433434" w:rsidP="008A79B6">
      <w:pPr>
        <w:pStyle w:val="Ruller41"/>
        <w:rPr>
          <w:rtl/>
        </w:rPr>
      </w:pPr>
      <w:r w:rsidRPr="00435653">
        <w:rPr>
          <w:rFonts w:hint="eastAsia"/>
          <w:rtl/>
        </w:rPr>
        <w:t>הווה</w:t>
      </w:r>
      <w:r w:rsidRPr="00435653">
        <w:rPr>
          <w:rtl/>
        </w:rPr>
        <w:t xml:space="preserve"> </w:t>
      </w:r>
      <w:r w:rsidRPr="00435653">
        <w:rPr>
          <w:rFonts w:hint="eastAsia"/>
          <w:rtl/>
        </w:rPr>
        <w:t>אומר</w:t>
      </w:r>
      <w:r w:rsidRPr="00435653">
        <w:rPr>
          <w:rtl/>
        </w:rPr>
        <w:t xml:space="preserve">, </w:t>
      </w:r>
      <w:r w:rsidRPr="00435653">
        <w:rPr>
          <w:rFonts w:hint="eastAsia"/>
          <w:rtl/>
        </w:rPr>
        <w:t>חברה</w:t>
      </w:r>
      <w:r w:rsidRPr="00435653">
        <w:rPr>
          <w:rtl/>
        </w:rPr>
        <w:t xml:space="preserve"> </w:t>
      </w:r>
      <w:r w:rsidRPr="00435653">
        <w:rPr>
          <w:rFonts w:hint="eastAsia"/>
          <w:rtl/>
        </w:rPr>
        <w:t>ממשלתית</w:t>
      </w:r>
      <w:r w:rsidRPr="00435653">
        <w:rPr>
          <w:rtl/>
        </w:rPr>
        <w:t xml:space="preserve"> </w:t>
      </w:r>
      <w:r w:rsidRPr="00435653">
        <w:rPr>
          <w:rFonts w:hint="eastAsia"/>
          <w:rtl/>
        </w:rPr>
        <w:t>היא</w:t>
      </w:r>
      <w:r w:rsidRPr="00435653">
        <w:rPr>
          <w:rtl/>
        </w:rPr>
        <w:t xml:space="preserve"> </w:t>
      </w:r>
      <w:r w:rsidRPr="00435653">
        <w:rPr>
          <w:rFonts w:hint="eastAsia"/>
          <w:rtl/>
        </w:rPr>
        <w:t>חברה</w:t>
      </w:r>
      <w:r w:rsidRPr="00435653">
        <w:rPr>
          <w:rtl/>
        </w:rPr>
        <w:t xml:space="preserve"> </w:t>
      </w:r>
      <w:r w:rsidRPr="00435653">
        <w:rPr>
          <w:rFonts w:hint="eastAsia"/>
          <w:rtl/>
        </w:rPr>
        <w:t>המצויה</w:t>
      </w:r>
      <w:r w:rsidRPr="00435653">
        <w:rPr>
          <w:rtl/>
        </w:rPr>
        <w:t xml:space="preserve"> </w:t>
      </w:r>
      <w:r w:rsidRPr="00435653">
        <w:rPr>
          <w:rFonts w:hint="eastAsia"/>
          <w:rtl/>
        </w:rPr>
        <w:t>בבעלותה</w:t>
      </w:r>
      <w:r w:rsidRPr="00435653">
        <w:rPr>
          <w:rtl/>
        </w:rPr>
        <w:t xml:space="preserve"> </w:t>
      </w:r>
      <w:r w:rsidRPr="00435653">
        <w:rPr>
          <w:rFonts w:hint="eastAsia"/>
          <w:rtl/>
        </w:rPr>
        <w:t>של</w:t>
      </w:r>
      <w:r w:rsidRPr="00435653">
        <w:rPr>
          <w:rtl/>
        </w:rPr>
        <w:t xml:space="preserve"> </w:t>
      </w:r>
      <w:r w:rsidRPr="00435653">
        <w:rPr>
          <w:rFonts w:hint="eastAsia"/>
          <w:rtl/>
        </w:rPr>
        <w:t>מדינת</w:t>
      </w:r>
      <w:r w:rsidRPr="00435653">
        <w:rPr>
          <w:rtl/>
        </w:rPr>
        <w:t xml:space="preserve"> </w:t>
      </w:r>
      <w:r w:rsidRPr="00435653">
        <w:rPr>
          <w:rFonts w:hint="eastAsia"/>
          <w:rtl/>
        </w:rPr>
        <w:t>ישראל</w:t>
      </w:r>
      <w:r w:rsidRPr="00435653">
        <w:rPr>
          <w:rtl/>
        </w:rPr>
        <w:t xml:space="preserve">, </w:t>
      </w:r>
      <w:r w:rsidRPr="00435653">
        <w:rPr>
          <w:rFonts w:hint="eastAsia"/>
          <w:rtl/>
        </w:rPr>
        <w:t>ונשלטת</w:t>
      </w:r>
      <w:r w:rsidRPr="00435653">
        <w:rPr>
          <w:rFonts w:hint="cs"/>
          <w:rtl/>
        </w:rPr>
        <w:t>, הלכה למעשה,</w:t>
      </w:r>
      <w:r w:rsidRPr="00435653">
        <w:rPr>
          <w:rtl/>
        </w:rPr>
        <w:t xml:space="preserve"> </w:t>
      </w:r>
      <w:r w:rsidRPr="00435653">
        <w:rPr>
          <w:rFonts w:hint="eastAsia"/>
          <w:rtl/>
        </w:rPr>
        <w:t>על</w:t>
      </w:r>
      <w:r w:rsidRPr="00435653">
        <w:rPr>
          <w:rFonts w:hint="cs"/>
          <w:rtl/>
        </w:rPr>
        <w:t>-</w:t>
      </w:r>
      <w:r w:rsidRPr="00435653">
        <w:rPr>
          <w:rFonts w:hint="eastAsia"/>
          <w:rtl/>
        </w:rPr>
        <w:t>ידי</w:t>
      </w:r>
      <w:r w:rsidRPr="00435653">
        <w:rPr>
          <w:rtl/>
        </w:rPr>
        <w:t xml:space="preserve"> </w:t>
      </w:r>
      <w:r w:rsidRPr="00435653">
        <w:rPr>
          <w:rFonts w:hint="eastAsia"/>
          <w:rtl/>
        </w:rPr>
        <w:t>ממשלת</w:t>
      </w:r>
      <w:r w:rsidRPr="00435653">
        <w:rPr>
          <w:rtl/>
        </w:rPr>
        <w:t xml:space="preserve"> </w:t>
      </w:r>
      <w:r w:rsidRPr="00435653">
        <w:rPr>
          <w:rFonts w:hint="eastAsia"/>
          <w:rtl/>
        </w:rPr>
        <w:t>ישראל</w:t>
      </w:r>
      <w:r w:rsidRPr="00435653">
        <w:rPr>
          <w:rFonts w:hint="cs"/>
          <w:rtl/>
        </w:rPr>
        <w:t xml:space="preserve">. </w:t>
      </w:r>
    </w:p>
    <w:p w:rsidR="00433434" w:rsidRPr="00435653" w:rsidRDefault="00433434" w:rsidP="00433434">
      <w:pPr>
        <w:pStyle w:val="Ruller4"/>
        <w:tabs>
          <w:tab w:val="clear" w:pos="800"/>
        </w:tabs>
        <w:overflowPunct/>
        <w:autoSpaceDE/>
        <w:autoSpaceDN/>
        <w:adjustRightInd/>
        <w:spacing w:before="240" w:after="240"/>
        <w:textAlignment w:val="auto"/>
        <w:rPr>
          <w:rFonts w:ascii="Century" w:hAnsi="Century"/>
          <w:sz w:val="22"/>
        </w:rPr>
      </w:pPr>
      <w:r w:rsidRPr="00435653">
        <w:rPr>
          <w:rFonts w:ascii="Century" w:hAnsi="Century" w:hint="cs"/>
          <w:sz w:val="22"/>
          <w:rtl/>
        </w:rPr>
        <w:t>צורכי</w:t>
      </w:r>
      <w:r w:rsidRPr="00435653">
        <w:rPr>
          <w:rFonts w:hint="cs"/>
          <w:rtl/>
        </w:rPr>
        <w:t xml:space="preserve"> הכלכלה המודרנית הניעו את תהליך הקמתן של חברות בבעלות ממשלתית </w:t>
      </w:r>
      <w:r w:rsidRPr="00435653">
        <w:rPr>
          <w:rtl/>
        </w:rPr>
        <w:t>–</w:t>
      </w:r>
      <w:r w:rsidRPr="00435653">
        <w:rPr>
          <w:rFonts w:hint="cs"/>
          <w:rtl/>
        </w:rPr>
        <w:t xml:space="preserve"> שמטרתן לשלב את היתרונות העסקיים הגלומים במסגרות המשפטיות האזרחיות, בתוך מבנה פעילותה של רשות ממשלתית ציבורית. החברות הממשלתיות נועדו לשמש כלי לקידום מטרות ציבוריות שונות, למתן שירותים חיוניים לאזרחים ולממש תפקיד משמעותי במערכת השלטונית במדינת ישראל (בג"ץ 2000/19 </w:t>
      </w:r>
      <w:r w:rsidRPr="00435653">
        <w:rPr>
          <w:rFonts w:ascii="Century" w:hAnsi="Century" w:cs="Miriam" w:hint="cs"/>
          <w:b/>
          <w:spacing w:val="0"/>
          <w:sz w:val="22"/>
          <w:szCs w:val="24"/>
          <w:rtl/>
        </w:rPr>
        <w:t>נבון נ' מנהל רשות החברות הממשלתיות</w:t>
      </w:r>
      <w:r w:rsidRPr="00435653">
        <w:rPr>
          <w:rFonts w:ascii="Century" w:hAnsi="Century" w:hint="cs"/>
          <w:sz w:val="22"/>
          <w:rtl/>
        </w:rPr>
        <w:t>, פסקה 46 (18.11.2019)</w:t>
      </w:r>
      <w:r w:rsidRPr="00435653">
        <w:rPr>
          <w:rFonts w:hint="cs"/>
          <w:rtl/>
        </w:rPr>
        <w:t xml:space="preserve"> </w:t>
      </w:r>
      <w:r w:rsidRPr="00435653">
        <w:rPr>
          <w:rtl/>
        </w:rPr>
        <w:t>(</w:t>
      </w:r>
      <w:r w:rsidRPr="00435653">
        <w:rPr>
          <w:rFonts w:hint="eastAsia"/>
          <w:rtl/>
        </w:rPr>
        <w:t>להלן</w:t>
      </w:r>
      <w:r w:rsidRPr="00435653">
        <w:rPr>
          <w:rtl/>
        </w:rPr>
        <w:t xml:space="preserve">: </w:t>
      </w:r>
      <w:r w:rsidRPr="00435653">
        <w:rPr>
          <w:rFonts w:ascii="Century" w:hAnsi="Century" w:cs="Miriam" w:hint="cs"/>
          <w:b/>
          <w:spacing w:val="0"/>
          <w:sz w:val="22"/>
          <w:szCs w:val="24"/>
          <w:rtl/>
        </w:rPr>
        <w:t>עניין נבון</w:t>
      </w:r>
      <w:r w:rsidRPr="00435653">
        <w:rPr>
          <w:rFonts w:ascii="Century" w:hAnsi="Century" w:hint="cs"/>
          <w:sz w:val="22"/>
          <w:rtl/>
        </w:rPr>
        <w:t xml:space="preserve">); </w:t>
      </w:r>
      <w:r w:rsidRPr="00435653">
        <w:rPr>
          <w:rFonts w:ascii="Century" w:hAnsi="Century" w:hint="eastAsia"/>
          <w:sz w:val="22"/>
          <w:rtl/>
        </w:rPr>
        <w:t>בג</w:t>
      </w:r>
      <w:r w:rsidRPr="00435653">
        <w:rPr>
          <w:rFonts w:hint="cs"/>
          <w:rtl/>
        </w:rPr>
        <w:t xml:space="preserve">"ץ 7871/07 </w:t>
      </w:r>
      <w:r w:rsidRPr="00435653">
        <w:rPr>
          <w:rFonts w:ascii="Century" w:hAnsi="Century" w:cs="Miriam" w:hint="cs"/>
          <w:b/>
          <w:spacing w:val="0"/>
          <w:sz w:val="22"/>
          <w:szCs w:val="24"/>
          <w:rtl/>
        </w:rPr>
        <w:t xml:space="preserve">רפאל </w:t>
      </w:r>
      <w:r w:rsidRPr="00435653">
        <w:rPr>
          <w:rFonts w:ascii="Century" w:hAnsi="Century" w:cs="Miriam"/>
          <w:b/>
          <w:spacing w:val="0"/>
          <w:sz w:val="22"/>
          <w:szCs w:val="24"/>
          <w:rtl/>
        </w:rPr>
        <w:t>–</w:t>
      </w:r>
      <w:r w:rsidRPr="00435653">
        <w:rPr>
          <w:rFonts w:ascii="Century" w:hAnsi="Century" w:cs="Miriam" w:hint="cs"/>
          <w:b/>
          <w:spacing w:val="0"/>
          <w:sz w:val="22"/>
          <w:szCs w:val="24"/>
          <w:rtl/>
        </w:rPr>
        <w:t xml:space="preserve"> רשות לפיתוח אמצעי לחימה בע"מ נ' שר האוצר</w:t>
      </w:r>
      <w:r w:rsidRPr="00435653">
        <w:rPr>
          <w:rFonts w:ascii="Century" w:hAnsi="Century"/>
          <w:sz w:val="22"/>
          <w:rtl/>
        </w:rPr>
        <w:t xml:space="preserve">, </w:t>
      </w:r>
      <w:r w:rsidRPr="00435653">
        <w:rPr>
          <w:rFonts w:ascii="Century" w:hAnsi="Century" w:hint="eastAsia"/>
          <w:sz w:val="22"/>
          <w:rtl/>
        </w:rPr>
        <w:t>פסקאות</w:t>
      </w:r>
      <w:r w:rsidRPr="00435653">
        <w:rPr>
          <w:rFonts w:ascii="Century" w:hAnsi="Century"/>
          <w:sz w:val="22"/>
          <w:rtl/>
        </w:rPr>
        <w:t xml:space="preserve"> 30 </w:t>
      </w:r>
      <w:r w:rsidRPr="00435653">
        <w:rPr>
          <w:rFonts w:ascii="Century" w:hAnsi="Century" w:hint="eastAsia"/>
          <w:sz w:val="22"/>
          <w:rtl/>
        </w:rPr>
        <w:t>ו</w:t>
      </w:r>
      <w:r w:rsidRPr="00435653">
        <w:rPr>
          <w:rFonts w:ascii="Century" w:hAnsi="Century"/>
          <w:sz w:val="22"/>
          <w:rtl/>
        </w:rPr>
        <w:t>-32 (06.02.2011) (</w:t>
      </w:r>
      <w:r w:rsidRPr="00435653">
        <w:rPr>
          <w:rFonts w:ascii="Century" w:hAnsi="Century" w:hint="eastAsia"/>
          <w:sz w:val="22"/>
          <w:rtl/>
        </w:rPr>
        <w:t>להלן</w:t>
      </w:r>
      <w:r w:rsidRPr="00435653">
        <w:rPr>
          <w:rFonts w:ascii="Century" w:hAnsi="Century"/>
          <w:sz w:val="22"/>
          <w:rtl/>
        </w:rPr>
        <w:t xml:space="preserve">: </w:t>
      </w:r>
      <w:r w:rsidRPr="00435653">
        <w:rPr>
          <w:rFonts w:ascii="Century" w:hAnsi="Century" w:cs="Miriam" w:hint="eastAsia"/>
          <w:b/>
          <w:spacing w:val="0"/>
          <w:sz w:val="22"/>
          <w:szCs w:val="24"/>
          <w:rtl/>
        </w:rPr>
        <w:t>עניין</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רפאל</w:t>
      </w:r>
      <w:r w:rsidRPr="00435653">
        <w:rPr>
          <w:rFonts w:ascii="Century" w:hAnsi="Century"/>
          <w:sz w:val="22"/>
          <w:rtl/>
        </w:rPr>
        <w:t xml:space="preserve">); </w:t>
      </w:r>
      <w:proofErr w:type="spellStart"/>
      <w:r w:rsidRPr="00435653">
        <w:rPr>
          <w:rFonts w:hint="cs"/>
          <w:rtl/>
        </w:rPr>
        <w:t>עע"ם</w:t>
      </w:r>
      <w:proofErr w:type="spellEnd"/>
      <w:r w:rsidRPr="00435653">
        <w:rPr>
          <w:rFonts w:hint="cs"/>
          <w:rtl/>
        </w:rPr>
        <w:t xml:space="preserve"> 9341/05 </w:t>
      </w:r>
      <w:r w:rsidRPr="00435653">
        <w:rPr>
          <w:rFonts w:ascii="Century" w:hAnsi="Century" w:cs="Miriam" w:hint="cs"/>
          <w:b/>
          <w:spacing w:val="0"/>
          <w:sz w:val="22"/>
          <w:szCs w:val="24"/>
          <w:rtl/>
        </w:rPr>
        <w:t>התנועה לחופש המידע נ' רשות החברות הממשלתיות</w:t>
      </w:r>
      <w:r w:rsidRPr="00435653">
        <w:rPr>
          <w:rFonts w:ascii="Century" w:hAnsi="Century" w:hint="cs"/>
          <w:sz w:val="22"/>
          <w:rtl/>
        </w:rPr>
        <w:t>, פסקה 9 (19.05.2009)</w:t>
      </w:r>
      <w:r w:rsidRPr="00435653">
        <w:rPr>
          <w:rFonts w:hint="cs"/>
          <w:rtl/>
        </w:rPr>
        <w:t xml:space="preserve"> </w:t>
      </w:r>
      <w:r w:rsidRPr="00435653">
        <w:rPr>
          <w:rtl/>
        </w:rPr>
        <w:t>(</w:t>
      </w:r>
      <w:r w:rsidRPr="00435653">
        <w:rPr>
          <w:rFonts w:hint="eastAsia"/>
          <w:rtl/>
        </w:rPr>
        <w:t>להלן</w:t>
      </w:r>
      <w:r w:rsidRPr="00435653">
        <w:rPr>
          <w:rtl/>
        </w:rPr>
        <w:t xml:space="preserve">: </w:t>
      </w:r>
      <w:r w:rsidRPr="00435653">
        <w:rPr>
          <w:rFonts w:ascii="Century" w:hAnsi="Century" w:cs="Miriam" w:hint="cs"/>
          <w:b/>
          <w:spacing w:val="0"/>
          <w:sz w:val="22"/>
          <w:szCs w:val="24"/>
          <w:rtl/>
        </w:rPr>
        <w:t>עניין התנועה לחופש המידע</w:t>
      </w:r>
      <w:r w:rsidRPr="00435653">
        <w:rPr>
          <w:rFonts w:ascii="Century" w:hAnsi="Century" w:hint="cs"/>
          <w:sz w:val="22"/>
          <w:rtl/>
        </w:rPr>
        <w:t>)</w:t>
      </w:r>
      <w:r w:rsidRPr="00435653">
        <w:rPr>
          <w:rFonts w:hint="cs"/>
          <w:rtl/>
        </w:rPr>
        <w:t xml:space="preserve">; יצחק זמיר </w:t>
      </w:r>
      <w:r w:rsidRPr="00435653">
        <w:rPr>
          <w:rFonts w:ascii="Century" w:hAnsi="Century" w:cs="Miriam" w:hint="cs"/>
          <w:b/>
          <w:spacing w:val="0"/>
          <w:sz w:val="22"/>
          <w:szCs w:val="24"/>
          <w:rtl/>
        </w:rPr>
        <w:t xml:space="preserve">הסמכות </w:t>
      </w:r>
      <w:proofErr w:type="spellStart"/>
      <w:r w:rsidRPr="00435653">
        <w:rPr>
          <w:rFonts w:ascii="Century" w:hAnsi="Century" w:cs="Miriam" w:hint="cs"/>
          <w:b/>
          <w:spacing w:val="0"/>
          <w:sz w:val="22"/>
          <w:szCs w:val="24"/>
          <w:rtl/>
        </w:rPr>
        <w:t>המינהלית</w:t>
      </w:r>
      <w:proofErr w:type="spellEnd"/>
      <w:r w:rsidRPr="00435653">
        <w:rPr>
          <w:rFonts w:ascii="Century" w:hAnsi="Century" w:cs="Miriam" w:hint="cs"/>
          <w:b/>
          <w:spacing w:val="0"/>
          <w:sz w:val="22"/>
          <w:szCs w:val="24"/>
          <w:rtl/>
        </w:rPr>
        <w:t xml:space="preserve"> כרך א' </w:t>
      </w:r>
      <w:r w:rsidRPr="00435653">
        <w:rPr>
          <w:rFonts w:ascii="Century" w:hAnsi="Century" w:cs="Miriam"/>
          <w:b/>
          <w:spacing w:val="0"/>
          <w:sz w:val="22"/>
          <w:szCs w:val="24"/>
          <w:rtl/>
        </w:rPr>
        <w:t>–</w:t>
      </w:r>
      <w:r w:rsidRPr="00435653">
        <w:rPr>
          <w:rFonts w:ascii="Century" w:hAnsi="Century" w:cs="Miriam" w:hint="cs"/>
          <w:b/>
          <w:spacing w:val="0"/>
          <w:sz w:val="22"/>
          <w:szCs w:val="24"/>
          <w:rtl/>
        </w:rPr>
        <w:t xml:space="preserve"> </w:t>
      </w:r>
      <w:proofErr w:type="spellStart"/>
      <w:r w:rsidRPr="00435653">
        <w:rPr>
          <w:rFonts w:ascii="Century" w:hAnsi="Century" w:cs="Miriam" w:hint="cs"/>
          <w:b/>
          <w:spacing w:val="0"/>
          <w:sz w:val="22"/>
          <w:szCs w:val="24"/>
          <w:rtl/>
        </w:rPr>
        <w:t>המינהל</w:t>
      </w:r>
      <w:proofErr w:type="spellEnd"/>
      <w:r w:rsidRPr="00435653">
        <w:rPr>
          <w:rFonts w:ascii="Century" w:hAnsi="Century" w:cs="Miriam" w:hint="cs"/>
          <w:b/>
          <w:spacing w:val="0"/>
          <w:sz w:val="22"/>
          <w:szCs w:val="24"/>
          <w:rtl/>
        </w:rPr>
        <w:t xml:space="preserve"> הציבורי</w:t>
      </w:r>
      <w:r w:rsidRPr="00435653">
        <w:rPr>
          <w:rFonts w:ascii="Century" w:hAnsi="Century"/>
          <w:sz w:val="22"/>
          <w:rtl/>
        </w:rPr>
        <w:t xml:space="preserve"> 495 (</w:t>
      </w:r>
      <w:r w:rsidRPr="00435653">
        <w:rPr>
          <w:rFonts w:ascii="Century" w:hAnsi="Century" w:hint="eastAsia"/>
          <w:sz w:val="22"/>
          <w:rtl/>
        </w:rPr>
        <w:t>מהדורה</w:t>
      </w:r>
      <w:r w:rsidRPr="00435653">
        <w:rPr>
          <w:rFonts w:ascii="Century" w:hAnsi="Century"/>
          <w:sz w:val="22"/>
          <w:rtl/>
        </w:rPr>
        <w:t xml:space="preserve"> </w:t>
      </w:r>
      <w:r w:rsidRPr="00435653">
        <w:rPr>
          <w:rFonts w:ascii="Century" w:hAnsi="Century" w:hint="eastAsia"/>
          <w:sz w:val="22"/>
          <w:rtl/>
        </w:rPr>
        <w:t>שנייה</w:t>
      </w:r>
      <w:r w:rsidRPr="00435653">
        <w:rPr>
          <w:rFonts w:ascii="Century" w:hAnsi="Century"/>
          <w:sz w:val="22"/>
          <w:rtl/>
        </w:rPr>
        <w:t xml:space="preserve"> </w:t>
      </w:r>
      <w:r w:rsidRPr="00435653">
        <w:rPr>
          <w:rFonts w:ascii="Century" w:hAnsi="Century" w:hint="eastAsia"/>
          <w:sz w:val="22"/>
          <w:rtl/>
        </w:rPr>
        <w:t>מורחבת</w:t>
      </w:r>
      <w:r w:rsidRPr="00435653">
        <w:rPr>
          <w:rFonts w:ascii="Century" w:hAnsi="Century"/>
          <w:sz w:val="22"/>
          <w:rtl/>
        </w:rPr>
        <w:t xml:space="preserve"> 2010) (</w:t>
      </w:r>
      <w:r w:rsidRPr="00435653">
        <w:rPr>
          <w:rFonts w:ascii="Century" w:hAnsi="Century" w:hint="eastAsia"/>
          <w:sz w:val="22"/>
          <w:rtl/>
        </w:rPr>
        <w:t>להלן</w:t>
      </w:r>
      <w:r w:rsidRPr="00435653">
        <w:rPr>
          <w:rFonts w:ascii="Century" w:hAnsi="Century"/>
          <w:sz w:val="22"/>
          <w:rtl/>
        </w:rPr>
        <w:t xml:space="preserve">: </w:t>
      </w:r>
      <w:r w:rsidRPr="00435653">
        <w:rPr>
          <w:rFonts w:ascii="Century" w:hAnsi="Century" w:cs="Miriam" w:hint="eastAsia"/>
          <w:b/>
          <w:spacing w:val="0"/>
          <w:sz w:val="22"/>
          <w:szCs w:val="24"/>
          <w:rtl/>
        </w:rPr>
        <w:t>זמיר</w:t>
      </w:r>
      <w:r w:rsidRPr="00435653">
        <w:rPr>
          <w:rFonts w:ascii="Century" w:hAnsi="Century"/>
          <w:sz w:val="22"/>
          <w:rtl/>
        </w:rPr>
        <w:t>)</w:t>
      </w:r>
      <w:r w:rsidRPr="00435653">
        <w:rPr>
          <w:rFonts w:hint="cs"/>
          <w:rtl/>
        </w:rPr>
        <w:t>).</w:t>
      </w:r>
    </w:p>
    <w:p w:rsidR="00433434" w:rsidRPr="00435653" w:rsidRDefault="00433434" w:rsidP="00433434">
      <w:pPr>
        <w:pStyle w:val="Ruller4"/>
        <w:spacing w:before="240" w:after="240"/>
        <w:rPr>
          <w:rFonts w:ascii="Century" w:hAnsi="Century"/>
          <w:sz w:val="22"/>
        </w:rPr>
      </w:pPr>
      <w:r w:rsidRPr="00435653">
        <w:rPr>
          <w:rFonts w:ascii="Century" w:hAnsi="Century"/>
          <w:sz w:val="22"/>
          <w:rtl/>
        </w:rPr>
        <w:tab/>
      </w:r>
      <w:r w:rsidRPr="00435653">
        <w:rPr>
          <w:rFonts w:ascii="Century" w:hAnsi="Century" w:hint="cs"/>
          <w:sz w:val="22"/>
          <w:rtl/>
        </w:rPr>
        <w:t xml:space="preserve">הקמתן של חברות ממשלתיות נעשית, לעתים, גם משיקולים </w:t>
      </w:r>
      <w:r w:rsidRPr="00435653">
        <w:rPr>
          <w:rFonts w:ascii="Century" w:hAnsi="Century" w:cs="Miriam" w:hint="cs"/>
          <w:b/>
          <w:spacing w:val="0"/>
          <w:sz w:val="22"/>
          <w:szCs w:val="24"/>
          <w:rtl/>
        </w:rPr>
        <w:t>מעשיים</w:t>
      </w:r>
      <w:r w:rsidRPr="00435653">
        <w:rPr>
          <w:rFonts w:ascii="Century" w:hAnsi="Century" w:hint="cs"/>
          <w:sz w:val="22"/>
          <w:rtl/>
        </w:rPr>
        <w:t xml:space="preserve">. בדרך זו, חוק החברות </w:t>
      </w:r>
      <w:r w:rsidRPr="00435653">
        <w:rPr>
          <w:rFonts w:hint="cs"/>
          <w:rtl/>
        </w:rPr>
        <w:t>הממשלתיות</w:t>
      </w:r>
      <w:r w:rsidRPr="00435653">
        <w:rPr>
          <w:rFonts w:ascii="Century" w:hAnsi="Century" w:hint="cs"/>
          <w:sz w:val="22"/>
          <w:rtl/>
        </w:rPr>
        <w:t xml:space="preserve"> מאפשר לממשלת ישראל, אשר הסמכות להקמת חברה </w:t>
      </w:r>
      <w:r w:rsidRPr="00435653">
        <w:rPr>
          <w:rFonts w:ascii="Century" w:hAnsi="Century" w:hint="cs"/>
          <w:sz w:val="22"/>
          <w:rtl/>
        </w:rPr>
        <w:lastRenderedPageBreak/>
        <w:t xml:space="preserve">ממשלתית נתונה בידה (ראו: סעיפים 6-5 לחוק החברות הממשלתיות), לעשות שימוש במודל היעיל שמציע חוק החברות. השימוש במודל זה, מבטיח גמישות רבה יותר לפעילות העסקית והציבורית ובתוך כך </w:t>
      </w:r>
      <w:r w:rsidRPr="00435653">
        <w:rPr>
          <w:rFonts w:hint="cs"/>
          <w:rtl/>
        </w:rPr>
        <w:t xml:space="preserve">מאפשר </w:t>
      </w:r>
      <w:r w:rsidRPr="00435653">
        <w:rPr>
          <w:rFonts w:ascii="Century" w:hAnsi="Century" w:hint="cs"/>
          <w:sz w:val="22"/>
          <w:rtl/>
        </w:rPr>
        <w:t>"</w:t>
      </w:r>
      <w:r w:rsidRPr="00435653">
        <w:rPr>
          <w:rFonts w:ascii="Century" w:hAnsi="Century" w:cs="Miriam" w:hint="cs"/>
          <w:b/>
          <w:spacing w:val="0"/>
          <w:sz w:val="22"/>
          <w:szCs w:val="24"/>
          <w:rtl/>
        </w:rPr>
        <w:t>לגייס הון לצורך פיתוח, באמצעות הבורסה או בדרך אחרת, להיכנס לשותפויות עם חברות אחרות מישראל או מחוץ לישראל, וכן גם למכור בבוא הזמן את השליטה בחברה</w:t>
      </w:r>
      <w:r w:rsidRPr="00435653">
        <w:rPr>
          <w:rFonts w:ascii="Century" w:hAnsi="Century" w:hint="cs"/>
          <w:sz w:val="22"/>
          <w:rtl/>
        </w:rPr>
        <w:t>" (</w:t>
      </w:r>
      <w:r w:rsidRPr="00435653">
        <w:rPr>
          <w:rFonts w:ascii="Century" w:hAnsi="Century" w:cs="Miriam" w:hint="cs"/>
          <w:b/>
          <w:spacing w:val="0"/>
          <w:sz w:val="22"/>
          <w:szCs w:val="24"/>
          <w:rtl/>
        </w:rPr>
        <w:t>זמיר</w:t>
      </w:r>
      <w:r w:rsidRPr="00435653">
        <w:rPr>
          <w:rFonts w:ascii="Century" w:hAnsi="Century" w:hint="cs"/>
          <w:sz w:val="22"/>
          <w:rtl/>
        </w:rPr>
        <w:t xml:space="preserve">, בעמוד 496; ראו גם: אברהם </w:t>
      </w:r>
      <w:proofErr w:type="spellStart"/>
      <w:r w:rsidRPr="00435653">
        <w:rPr>
          <w:rFonts w:ascii="Century" w:hAnsi="Century" w:hint="cs"/>
          <w:sz w:val="22"/>
          <w:rtl/>
        </w:rPr>
        <w:t>וינרוט</w:t>
      </w:r>
      <w:proofErr w:type="spellEnd"/>
      <w:r w:rsidRPr="00435653">
        <w:rPr>
          <w:rFonts w:ascii="Century" w:hAnsi="Century" w:hint="cs"/>
          <w:sz w:val="22"/>
          <w:rtl/>
        </w:rPr>
        <w:t xml:space="preserve"> </w:t>
      </w:r>
      <w:r w:rsidRPr="00435653">
        <w:rPr>
          <w:rFonts w:ascii="Century" w:hAnsi="Century" w:cs="Miriam" w:hint="cs"/>
          <w:b/>
          <w:spacing w:val="0"/>
          <w:sz w:val="22"/>
          <w:szCs w:val="24"/>
          <w:rtl/>
        </w:rPr>
        <w:t xml:space="preserve">חברות ממשלתיות </w:t>
      </w:r>
      <w:r w:rsidRPr="00435653">
        <w:rPr>
          <w:rFonts w:ascii="Century" w:hAnsi="Century" w:cs="Miriam"/>
          <w:b/>
          <w:spacing w:val="0"/>
          <w:sz w:val="22"/>
          <w:szCs w:val="24"/>
          <w:rtl/>
        </w:rPr>
        <w:t>–</w:t>
      </w:r>
      <w:r w:rsidRPr="00435653">
        <w:rPr>
          <w:rFonts w:ascii="Century" w:hAnsi="Century" w:cs="Miriam" w:hint="cs"/>
          <w:b/>
          <w:spacing w:val="0"/>
          <w:sz w:val="22"/>
          <w:szCs w:val="24"/>
          <w:rtl/>
        </w:rPr>
        <w:t xml:space="preserve"> תחולת המשפט המנהלי </w:t>
      </w:r>
      <w:r w:rsidRPr="00435653">
        <w:rPr>
          <w:rFonts w:ascii="Century" w:hAnsi="Century" w:hint="cs"/>
          <w:sz w:val="22"/>
          <w:rtl/>
        </w:rPr>
        <w:t xml:space="preserve">22 (1995) </w:t>
      </w:r>
      <w:r w:rsidRPr="00435653">
        <w:rPr>
          <w:rFonts w:ascii="Century" w:hAnsi="Century"/>
          <w:sz w:val="22"/>
          <w:rtl/>
        </w:rPr>
        <w:t>(</w:t>
      </w:r>
      <w:r w:rsidRPr="00435653">
        <w:rPr>
          <w:rFonts w:ascii="Century" w:hAnsi="Century" w:hint="eastAsia"/>
          <w:sz w:val="22"/>
          <w:rtl/>
        </w:rPr>
        <w:t>להלן</w:t>
      </w:r>
      <w:r w:rsidRPr="00435653">
        <w:rPr>
          <w:rFonts w:ascii="Century" w:hAnsi="Century"/>
          <w:sz w:val="22"/>
          <w:rtl/>
        </w:rPr>
        <w:t xml:space="preserve">: </w:t>
      </w:r>
      <w:proofErr w:type="spellStart"/>
      <w:r w:rsidRPr="00435653">
        <w:rPr>
          <w:rFonts w:ascii="Century" w:hAnsi="Century" w:cs="Miriam" w:hint="cs"/>
          <w:b/>
          <w:spacing w:val="0"/>
          <w:sz w:val="22"/>
          <w:szCs w:val="24"/>
          <w:rtl/>
        </w:rPr>
        <w:t>וינרוט</w:t>
      </w:r>
      <w:proofErr w:type="spellEnd"/>
      <w:r w:rsidRPr="00435653">
        <w:rPr>
          <w:rFonts w:ascii="Century" w:hAnsi="Century" w:hint="cs"/>
          <w:sz w:val="22"/>
          <w:rtl/>
        </w:rPr>
        <w:t>)).</w:t>
      </w:r>
    </w:p>
    <w:p w:rsidR="00433434" w:rsidRPr="00435653" w:rsidRDefault="00433434" w:rsidP="00433434">
      <w:pPr>
        <w:pStyle w:val="Ruller4"/>
        <w:tabs>
          <w:tab w:val="clear" w:pos="800"/>
        </w:tabs>
        <w:overflowPunct/>
        <w:autoSpaceDE/>
        <w:autoSpaceDN/>
        <w:adjustRightInd/>
        <w:spacing w:before="240" w:after="240"/>
        <w:textAlignment w:val="auto"/>
      </w:pPr>
      <w:r w:rsidRPr="00435653">
        <w:rPr>
          <w:rFonts w:hint="cs"/>
          <w:rtl/>
        </w:rPr>
        <w:t xml:space="preserve">למעשה, נכון ליום 31.12.2022, פועלות במשק הישראלי כ-70 חברות ממשלתיות, המעסיקות כ-57,000 עובדים; מחזיקות נכסים בשווי של כ-256.4 מיליארד ש"ח; ונכון לשנת 2022, נהנות </w:t>
      </w:r>
      <w:r>
        <w:rPr>
          <w:rFonts w:hint="cs"/>
          <w:rtl/>
        </w:rPr>
        <w:t>מהכנסות</w:t>
      </w:r>
      <w:r w:rsidRPr="00435653">
        <w:rPr>
          <w:rFonts w:hint="cs"/>
          <w:rtl/>
        </w:rPr>
        <w:t xml:space="preserve"> בסך של כ-81.6 מיליארד ש"ח (רשות החברות הממשלתיות </w:t>
      </w:r>
      <w:r w:rsidRPr="00435653">
        <w:rPr>
          <w:rFonts w:ascii="Century" w:hAnsi="Century" w:cs="Miriam" w:hint="cs"/>
          <w:b/>
          <w:spacing w:val="0"/>
          <w:sz w:val="22"/>
          <w:szCs w:val="24"/>
          <w:rtl/>
        </w:rPr>
        <w:t>דין וחשבון על החברות הממשלתיות לשנת 2022</w:t>
      </w:r>
      <w:r w:rsidRPr="00435653">
        <w:rPr>
          <w:rFonts w:ascii="Century" w:hAnsi="Century" w:hint="cs"/>
          <w:sz w:val="22"/>
          <w:rtl/>
        </w:rPr>
        <w:t xml:space="preserve"> 9 (2023) </w:t>
      </w:r>
      <w:r w:rsidRPr="00435653">
        <w:rPr>
          <w:rFonts w:ascii="Century" w:hAnsi="Century"/>
          <w:sz w:val="22"/>
          <w:rtl/>
        </w:rPr>
        <w:t>(</w:t>
      </w:r>
      <w:r w:rsidRPr="00435653">
        <w:rPr>
          <w:rFonts w:ascii="Century" w:hAnsi="Century" w:hint="eastAsia"/>
          <w:sz w:val="22"/>
          <w:rtl/>
        </w:rPr>
        <w:t>להלן</w:t>
      </w:r>
      <w:r w:rsidRPr="00435653">
        <w:rPr>
          <w:rFonts w:ascii="Century" w:hAnsi="Century"/>
          <w:sz w:val="22"/>
          <w:rtl/>
        </w:rPr>
        <w:t xml:space="preserve">: </w:t>
      </w:r>
      <w:r w:rsidRPr="00435653">
        <w:rPr>
          <w:rFonts w:ascii="Century" w:hAnsi="Century" w:cs="Miriam" w:hint="cs"/>
          <w:b/>
          <w:spacing w:val="0"/>
          <w:sz w:val="22"/>
          <w:szCs w:val="24"/>
          <w:rtl/>
        </w:rPr>
        <w:t>דו"ח הרשות</w:t>
      </w:r>
      <w:r w:rsidRPr="00435653">
        <w:rPr>
          <w:rFonts w:hint="cs"/>
          <w:rtl/>
        </w:rPr>
        <w:t>)</w:t>
      </w:r>
      <w:r w:rsidRPr="00435653">
        <w:rPr>
          <w:rFonts w:ascii="Century" w:hAnsi="Century" w:hint="cs"/>
          <w:sz w:val="22"/>
          <w:rtl/>
        </w:rPr>
        <w:t xml:space="preserve">). </w:t>
      </w:r>
      <w:r w:rsidRPr="00435653">
        <w:rPr>
          <w:rFonts w:hint="cs"/>
          <w:rtl/>
        </w:rPr>
        <w:t>בתוך כך, רשות החברות הממשלתיות מגדירה 16 חברות ממשלתיות כחברות 'עיקריות', להן "</w:t>
      </w:r>
      <w:r w:rsidRPr="00435653">
        <w:rPr>
          <w:rFonts w:ascii="Century" w:hAnsi="Century" w:cs="Miriam" w:hint="cs"/>
          <w:b/>
          <w:spacing w:val="0"/>
          <w:sz w:val="22"/>
          <w:szCs w:val="24"/>
          <w:rtl/>
        </w:rPr>
        <w:t>השפעה גבוהה על השווקים בהם הן פועלות ועל המשק בישראל"</w:t>
      </w:r>
      <w:r w:rsidRPr="00435653">
        <w:rPr>
          <w:rFonts w:ascii="Century" w:hAnsi="Century" w:hint="cs"/>
          <w:sz w:val="22"/>
          <w:rtl/>
        </w:rPr>
        <w:t xml:space="preserve">, </w:t>
      </w:r>
      <w:r>
        <w:rPr>
          <w:rFonts w:hint="cs"/>
          <w:rtl/>
        </w:rPr>
        <w:t>וש</w:t>
      </w:r>
      <w:r w:rsidRPr="00435653">
        <w:rPr>
          <w:rFonts w:hint="cs"/>
          <w:rtl/>
        </w:rPr>
        <w:t xml:space="preserve">בידן מוחזקים כ-96% מכלל נכסי החברות הממשלתיות </w:t>
      </w:r>
      <w:r w:rsidRPr="00435653">
        <w:rPr>
          <w:rFonts w:ascii="Century" w:hAnsi="Century" w:hint="cs"/>
          <w:sz w:val="22"/>
          <w:rtl/>
        </w:rPr>
        <w:t>(</w:t>
      </w:r>
      <w:r w:rsidRPr="00435653">
        <w:rPr>
          <w:rFonts w:ascii="Century" w:hAnsi="Century" w:cs="Miriam" w:hint="cs"/>
          <w:b/>
          <w:spacing w:val="0"/>
          <w:sz w:val="22"/>
          <w:szCs w:val="24"/>
          <w:rtl/>
        </w:rPr>
        <w:t>דו"ח הרשות</w:t>
      </w:r>
      <w:r w:rsidRPr="00435653">
        <w:rPr>
          <w:rFonts w:ascii="Century" w:hAnsi="Century" w:hint="cs"/>
          <w:sz w:val="22"/>
          <w:rtl/>
        </w:rPr>
        <w:t>, בעמוד 15)</w:t>
      </w:r>
      <w:r w:rsidRPr="00435653">
        <w:rPr>
          <w:rFonts w:hint="cs"/>
          <w:rtl/>
        </w:rPr>
        <w:t xml:space="preserve">. על חברות אלו נמנות, בין השאר, </w:t>
      </w:r>
      <w:r w:rsidRPr="00435653">
        <w:rPr>
          <w:rFonts w:ascii="Century" w:hAnsi="Century" w:hint="cs"/>
          <w:sz w:val="22"/>
          <w:rtl/>
        </w:rPr>
        <w:t>חברת החשמל לישראל בע"מ, נתיבי הגז הטב</w:t>
      </w:r>
      <w:r w:rsidRPr="00435653">
        <w:rPr>
          <w:rFonts w:ascii="Century" w:hAnsi="Century" w:hint="cs"/>
          <w:rtl/>
        </w:rPr>
        <w:t xml:space="preserve">עי לישראל בע"מ, רכבת ישראל בע"מ </w:t>
      </w:r>
      <w:r w:rsidRPr="00435653">
        <w:rPr>
          <w:rFonts w:ascii="Century" w:hAnsi="Century"/>
          <w:rtl/>
        </w:rPr>
        <w:t>–</w:t>
      </w:r>
      <w:r w:rsidRPr="00435653">
        <w:rPr>
          <w:rFonts w:ascii="Century" w:hAnsi="Century" w:hint="cs"/>
          <w:rtl/>
        </w:rPr>
        <w:t xml:space="preserve"> וכן</w:t>
      </w:r>
      <w:r w:rsidRPr="00435653">
        <w:rPr>
          <w:rFonts w:ascii="Century" w:hAnsi="Century" w:hint="cs"/>
          <w:sz w:val="22"/>
          <w:rtl/>
        </w:rPr>
        <w:t xml:space="preserve"> </w:t>
      </w:r>
      <w:r w:rsidRPr="00435653">
        <w:rPr>
          <w:rFonts w:ascii="Century" w:hAnsi="Century" w:cs="Miriam" w:hint="cs"/>
          <w:b/>
          <w:spacing w:val="0"/>
          <w:sz w:val="22"/>
          <w:szCs w:val="24"/>
          <w:rtl/>
        </w:rPr>
        <w:t>חברת דואר ישראל בע"מ</w:t>
      </w:r>
      <w:r w:rsidRPr="00435653">
        <w:rPr>
          <w:rFonts w:ascii="Century" w:hAnsi="Century"/>
          <w:rtl/>
        </w:rPr>
        <w:t xml:space="preserve">, </w:t>
      </w:r>
      <w:r w:rsidRPr="00435653">
        <w:rPr>
          <w:rFonts w:ascii="Century" w:hAnsi="Century" w:hint="eastAsia"/>
          <w:rtl/>
        </w:rPr>
        <w:t>הניצבת</w:t>
      </w:r>
      <w:r w:rsidRPr="00435653">
        <w:rPr>
          <w:rFonts w:ascii="Century" w:hAnsi="Century"/>
          <w:rtl/>
        </w:rPr>
        <w:t xml:space="preserve"> </w:t>
      </w:r>
      <w:r w:rsidRPr="00435653">
        <w:rPr>
          <w:rFonts w:ascii="Century" w:hAnsi="Century" w:hint="eastAsia"/>
          <w:rtl/>
        </w:rPr>
        <w:t>במוקד</w:t>
      </w:r>
      <w:r w:rsidRPr="00435653">
        <w:rPr>
          <w:rFonts w:ascii="Century" w:hAnsi="Century"/>
          <w:rtl/>
        </w:rPr>
        <w:t xml:space="preserve"> </w:t>
      </w:r>
      <w:r w:rsidRPr="00435653">
        <w:rPr>
          <w:rFonts w:ascii="Century" w:hAnsi="Century" w:hint="eastAsia"/>
          <w:rtl/>
        </w:rPr>
        <w:t>העתירה</w:t>
      </w:r>
      <w:r w:rsidRPr="00435653">
        <w:rPr>
          <w:rFonts w:ascii="Century" w:hAnsi="Century"/>
          <w:rtl/>
        </w:rPr>
        <w:t xml:space="preserve"> </w:t>
      </w:r>
      <w:r w:rsidRPr="00435653">
        <w:rPr>
          <w:rFonts w:ascii="Century" w:hAnsi="Century" w:hint="eastAsia"/>
          <w:rtl/>
        </w:rPr>
        <w:t>שלפנינו</w:t>
      </w:r>
      <w:r w:rsidRPr="00435653">
        <w:rPr>
          <w:rFonts w:ascii="Century" w:hAnsi="Century"/>
          <w:sz w:val="22"/>
          <w:rtl/>
        </w:rPr>
        <w:t xml:space="preserve"> (</w:t>
      </w:r>
      <w:r w:rsidRPr="00435653">
        <w:rPr>
          <w:rFonts w:ascii="Century" w:hAnsi="Century" w:cs="Miriam" w:hint="eastAsia"/>
          <w:b/>
          <w:spacing w:val="0"/>
          <w:sz w:val="22"/>
          <w:szCs w:val="24"/>
          <w:rtl/>
        </w:rPr>
        <w:t>דו</w:t>
      </w:r>
      <w:r w:rsidRPr="00435653">
        <w:rPr>
          <w:rFonts w:ascii="Century" w:hAnsi="Century" w:cs="Miriam" w:hint="cs"/>
          <w:b/>
          <w:spacing w:val="0"/>
          <w:sz w:val="22"/>
          <w:szCs w:val="24"/>
          <w:rtl/>
        </w:rPr>
        <w:t>"ח הרשות</w:t>
      </w:r>
      <w:r w:rsidRPr="00435653">
        <w:rPr>
          <w:rFonts w:ascii="Century" w:hAnsi="Century" w:hint="cs"/>
          <w:sz w:val="22"/>
          <w:rtl/>
        </w:rPr>
        <w:t>, בעמוד 8).</w:t>
      </w:r>
      <w:r w:rsidRPr="00435653">
        <w:rPr>
          <w:rFonts w:hint="cs"/>
          <w:rtl/>
        </w:rPr>
        <w:t xml:space="preserve"> </w:t>
      </w:r>
      <w:r w:rsidRPr="00435653">
        <w:rPr>
          <w:rFonts w:ascii="Century" w:hAnsi="Century" w:hint="cs"/>
          <w:sz w:val="22"/>
          <w:rtl/>
        </w:rPr>
        <w:t xml:space="preserve"> </w:t>
      </w:r>
    </w:p>
    <w:p w:rsidR="00433434" w:rsidRPr="00435653" w:rsidRDefault="00433434" w:rsidP="00433434">
      <w:pPr>
        <w:pStyle w:val="Ruller4"/>
        <w:tabs>
          <w:tab w:val="clear" w:pos="800"/>
        </w:tabs>
        <w:overflowPunct/>
        <w:autoSpaceDE/>
        <w:autoSpaceDN/>
        <w:adjustRightInd/>
        <w:spacing w:before="240" w:after="240"/>
        <w:textAlignment w:val="auto"/>
        <w:rPr>
          <w:rFonts w:ascii="Century" w:hAnsi="Century"/>
          <w:sz w:val="22"/>
        </w:rPr>
      </w:pPr>
      <w:r w:rsidRPr="00435653">
        <w:rPr>
          <w:rFonts w:hint="cs"/>
          <w:rtl/>
        </w:rPr>
        <w:t>החברה הממשלתי</w:t>
      </w:r>
      <w:r w:rsidRPr="00435653">
        <w:rPr>
          <w:rFonts w:hint="eastAsia"/>
          <w:rtl/>
        </w:rPr>
        <w:t>ת</w:t>
      </w:r>
      <w:r w:rsidRPr="00435653">
        <w:rPr>
          <w:rFonts w:hint="cs"/>
          <w:rtl/>
        </w:rPr>
        <w:t xml:space="preserve"> היא מעין 'יציר כלאיים', דהיינו, ישות תאגידית ששואבת את כוחה, וכפופה </w:t>
      </w:r>
      <w:r w:rsidRPr="00435653">
        <w:rPr>
          <w:rtl/>
        </w:rPr>
        <w:t>–</w:t>
      </w:r>
      <w:r w:rsidRPr="00435653">
        <w:rPr>
          <w:rFonts w:hint="cs"/>
          <w:rtl/>
        </w:rPr>
        <w:t xml:space="preserve"> הן למשפט הציבורי, הן למשפט הפרטי. הסינרגיה המתחייבת בין הדינים מעוררת, לא אחת, שאלות מורכבות וכבדות משקל אשר ליחס תחולתם של שדות המשפט השונים, כמו גם היחס בין הוראותיהם. נקודת האיזון אליה מבוקש להגיע, בסופם של דברים, היא זו בה המשפט הציבורי לא יצֵר את פעילותו ואת יעילותו של התאגיד ויאפשר לו להתנהל לפי שיקולים עסקיים, מחד גיסא; אך שגם המשפט הפרטי, לא ישמש כלי שרת בידי התאגיד על מנת לעקוף את הנורמות המחייבות את הרשות, מכוח דיני המשפט הציבורי, מאידך גיסא </w:t>
      </w:r>
      <w:r w:rsidRPr="00435653">
        <w:rPr>
          <w:rFonts w:ascii="Century" w:hAnsi="Century" w:hint="cs"/>
          <w:sz w:val="22"/>
          <w:rtl/>
        </w:rPr>
        <w:t xml:space="preserve">(דפנה ברק-ארז </w:t>
      </w:r>
      <w:r w:rsidRPr="00435653">
        <w:rPr>
          <w:rFonts w:ascii="Century" w:hAnsi="Century" w:cs="Miriam" w:hint="cs"/>
          <w:b/>
          <w:spacing w:val="0"/>
          <w:sz w:val="22"/>
          <w:szCs w:val="24"/>
          <w:rtl/>
        </w:rPr>
        <w:t xml:space="preserve">משפט </w:t>
      </w:r>
      <w:proofErr w:type="spellStart"/>
      <w:r w:rsidRPr="00435653">
        <w:rPr>
          <w:rFonts w:ascii="Century" w:hAnsi="Century" w:cs="Miriam" w:hint="cs"/>
          <w:b/>
          <w:spacing w:val="0"/>
          <w:sz w:val="22"/>
          <w:szCs w:val="24"/>
          <w:rtl/>
        </w:rPr>
        <w:t>מינהלי</w:t>
      </w:r>
      <w:proofErr w:type="spellEnd"/>
      <w:r w:rsidRPr="00435653">
        <w:rPr>
          <w:rFonts w:ascii="Century" w:hAnsi="Century" w:cs="Miriam" w:hint="cs"/>
          <w:b/>
          <w:spacing w:val="0"/>
          <w:sz w:val="22"/>
          <w:szCs w:val="24"/>
          <w:rtl/>
        </w:rPr>
        <w:t xml:space="preserve"> כלכלי</w:t>
      </w:r>
      <w:r w:rsidRPr="00435653">
        <w:rPr>
          <w:rFonts w:ascii="Century" w:hAnsi="Century" w:hint="cs"/>
          <w:sz w:val="22"/>
          <w:rtl/>
        </w:rPr>
        <w:t xml:space="preserve"> </w:t>
      </w:r>
      <w:r w:rsidRPr="00435653">
        <w:rPr>
          <w:rFonts w:ascii="Century" w:hAnsi="Century" w:hint="cs"/>
          <w:rtl/>
        </w:rPr>
        <w:t>452</w:t>
      </w:r>
      <w:r w:rsidRPr="00435653">
        <w:rPr>
          <w:rFonts w:ascii="Century" w:hAnsi="Century" w:hint="cs"/>
          <w:sz w:val="22"/>
          <w:rtl/>
        </w:rPr>
        <w:t xml:space="preserve"> (כרך ג 2013) </w:t>
      </w:r>
      <w:r w:rsidRPr="00435653">
        <w:rPr>
          <w:rFonts w:ascii="Century" w:hAnsi="Century"/>
          <w:sz w:val="22"/>
          <w:rtl/>
        </w:rPr>
        <w:t>(</w:t>
      </w:r>
      <w:r w:rsidRPr="00435653">
        <w:rPr>
          <w:rFonts w:ascii="Century" w:hAnsi="Century" w:hint="eastAsia"/>
          <w:sz w:val="22"/>
          <w:rtl/>
        </w:rPr>
        <w:t>להלן</w:t>
      </w:r>
      <w:r w:rsidRPr="00435653">
        <w:rPr>
          <w:rFonts w:ascii="Century" w:hAnsi="Century"/>
          <w:sz w:val="22"/>
          <w:rtl/>
        </w:rPr>
        <w:t xml:space="preserve">: </w:t>
      </w:r>
      <w:r w:rsidRPr="008A79B6">
        <w:rPr>
          <w:rFonts w:ascii="Century" w:hAnsi="Century" w:cs="Miriam" w:hint="cs"/>
          <w:b/>
          <w:spacing w:val="0"/>
          <w:sz w:val="22"/>
          <w:szCs w:val="24"/>
          <w:rtl/>
        </w:rPr>
        <w:t xml:space="preserve">ברק-ארז </w:t>
      </w:r>
      <w:r w:rsidRPr="008A79B6">
        <w:rPr>
          <w:rFonts w:ascii="Century" w:hAnsi="Century" w:cs="Miriam"/>
          <w:b/>
          <w:spacing w:val="0"/>
          <w:sz w:val="22"/>
          <w:szCs w:val="24"/>
          <w:rtl/>
        </w:rPr>
        <w:t>–</w:t>
      </w:r>
      <w:r w:rsidRPr="008A79B6">
        <w:rPr>
          <w:rFonts w:ascii="Century" w:hAnsi="Century" w:cs="Miriam" w:hint="cs"/>
          <w:b/>
          <w:spacing w:val="0"/>
          <w:sz w:val="22"/>
          <w:szCs w:val="24"/>
          <w:rtl/>
        </w:rPr>
        <w:t xml:space="preserve"> </w:t>
      </w:r>
      <w:proofErr w:type="spellStart"/>
      <w:r w:rsidRPr="008A79B6">
        <w:rPr>
          <w:rFonts w:ascii="Century" w:hAnsi="Century" w:cs="Miriam" w:hint="cs"/>
          <w:b/>
          <w:spacing w:val="0"/>
          <w:sz w:val="22"/>
          <w:szCs w:val="24"/>
          <w:rtl/>
        </w:rPr>
        <w:t>מינהלי</w:t>
      </w:r>
      <w:proofErr w:type="spellEnd"/>
      <w:r w:rsidRPr="008A79B6">
        <w:rPr>
          <w:rFonts w:ascii="Century" w:hAnsi="Century" w:cs="Miriam" w:hint="cs"/>
          <w:b/>
          <w:spacing w:val="0"/>
          <w:sz w:val="22"/>
          <w:szCs w:val="24"/>
          <w:rtl/>
        </w:rPr>
        <w:t>-כלכלי</w:t>
      </w:r>
      <w:r w:rsidRPr="00435653">
        <w:rPr>
          <w:rFonts w:ascii="Century" w:hAnsi="Century" w:hint="cs"/>
          <w:sz w:val="22"/>
          <w:rtl/>
        </w:rPr>
        <w:t>)</w:t>
      </w:r>
      <w:r w:rsidRPr="00435653">
        <w:rPr>
          <w:rFonts w:hint="cs"/>
          <w:rtl/>
        </w:rPr>
        <w:t xml:space="preserve">).  </w:t>
      </w:r>
    </w:p>
    <w:p w:rsidR="00433434" w:rsidRPr="00435653" w:rsidRDefault="00433434" w:rsidP="00433434">
      <w:pPr>
        <w:pStyle w:val="Ruller4"/>
        <w:tabs>
          <w:tab w:val="clear" w:pos="800"/>
        </w:tabs>
        <w:overflowPunct/>
        <w:autoSpaceDE/>
        <w:autoSpaceDN/>
        <w:adjustRightInd/>
        <w:spacing w:before="240" w:after="240"/>
        <w:textAlignment w:val="auto"/>
        <w:rPr>
          <w:rtl/>
        </w:rPr>
      </w:pPr>
      <w:r w:rsidRPr="00435653">
        <w:rPr>
          <w:rFonts w:hint="cs"/>
          <w:rtl/>
        </w:rPr>
        <w:t xml:space="preserve">חוק החברות הממשלתיות שואף, אם כן, להתוות בהוראותיו את שביל הזהב בין שני עולמות אלו. כך, בין היתר, הוקמה מכוח החוק רשות החברות הממשלתיות (ראו: סעיף 51 לחוק). </w:t>
      </w:r>
      <w:r w:rsidRPr="00435653">
        <w:rPr>
          <w:rFonts w:ascii="Century" w:hAnsi="Century" w:hint="cs"/>
          <w:rtl/>
        </w:rPr>
        <w:t>תכלית הקמתה של הרשות הייתה לכונן גוף מאסדר, ייעודי, שיפקח על פעילותן של החברות הממשלתיות;</w:t>
      </w:r>
      <w:r w:rsidRPr="00435653">
        <w:rPr>
          <w:rFonts w:hint="cs"/>
          <w:rtl/>
        </w:rPr>
        <w:t xml:space="preserve"> ובין מטרותיה </w:t>
      </w:r>
      <w:r w:rsidRPr="00435653">
        <w:rPr>
          <w:rtl/>
        </w:rPr>
        <w:t>–</w:t>
      </w:r>
      <w:r w:rsidRPr="00435653">
        <w:rPr>
          <w:rFonts w:hint="cs"/>
          <w:rtl/>
        </w:rPr>
        <w:t xml:space="preserve"> לשפר ולייעל את הניהול העסקי של חברות אלו; לשפר את מדדי הביצוע והיעילות שלהן; וכן להובילן לכדי רווחיות נאותה</w:t>
      </w:r>
      <w:r w:rsidRPr="00435653">
        <w:rPr>
          <w:rFonts w:hint="cs"/>
          <w:color w:val="FF0000"/>
          <w:rtl/>
        </w:rPr>
        <w:t xml:space="preserve"> </w:t>
      </w:r>
      <w:r w:rsidRPr="00435653">
        <w:rPr>
          <w:rFonts w:hint="cs"/>
          <w:rtl/>
        </w:rPr>
        <w:t>(</w:t>
      </w:r>
      <w:r w:rsidRPr="00435653">
        <w:rPr>
          <w:rFonts w:ascii="Century" w:hAnsi="Century" w:cs="Miriam" w:hint="cs"/>
          <w:b/>
          <w:spacing w:val="0"/>
          <w:sz w:val="22"/>
          <w:szCs w:val="24"/>
          <w:rtl/>
        </w:rPr>
        <w:t>דו"ח הרשות</w:t>
      </w:r>
      <w:r w:rsidRPr="00435653">
        <w:rPr>
          <w:rFonts w:ascii="Century" w:hAnsi="Century"/>
          <w:sz w:val="22"/>
          <w:rtl/>
        </w:rPr>
        <w:t xml:space="preserve">, </w:t>
      </w:r>
      <w:r w:rsidRPr="00435653">
        <w:rPr>
          <w:rFonts w:ascii="Century" w:hAnsi="Century" w:hint="eastAsia"/>
          <w:sz w:val="22"/>
          <w:rtl/>
        </w:rPr>
        <w:t>בעמוד</w:t>
      </w:r>
      <w:r w:rsidRPr="00435653">
        <w:rPr>
          <w:rFonts w:ascii="Century" w:hAnsi="Century"/>
          <w:sz w:val="22"/>
          <w:rtl/>
        </w:rPr>
        <w:t xml:space="preserve"> </w:t>
      </w:r>
      <w:r w:rsidRPr="00435653">
        <w:rPr>
          <w:rFonts w:ascii="Century" w:hAnsi="Century" w:hint="cs"/>
          <w:sz w:val="22"/>
          <w:rtl/>
        </w:rPr>
        <w:t>10</w:t>
      </w:r>
      <w:r w:rsidRPr="00435653">
        <w:rPr>
          <w:rFonts w:hint="cs"/>
          <w:rtl/>
        </w:rPr>
        <w:t xml:space="preserve">). </w:t>
      </w:r>
    </w:p>
    <w:p w:rsidR="00433434" w:rsidRPr="00435653" w:rsidRDefault="00433434" w:rsidP="00433434">
      <w:pPr>
        <w:pStyle w:val="Ruller4"/>
        <w:tabs>
          <w:tab w:val="clear" w:pos="800"/>
        </w:tabs>
        <w:overflowPunct/>
        <w:autoSpaceDE/>
        <w:autoSpaceDN/>
        <w:adjustRightInd/>
        <w:spacing w:before="240" w:after="240"/>
        <w:textAlignment w:val="auto"/>
        <w:rPr>
          <w:rtl/>
        </w:rPr>
      </w:pPr>
      <w:r w:rsidRPr="00435653">
        <w:rPr>
          <w:rFonts w:hint="cs"/>
          <w:rtl/>
        </w:rPr>
        <w:lastRenderedPageBreak/>
        <w:t xml:space="preserve">לשם השגת מטרותיו של חוק החברות הממשלתיות, ובראי המתח שהוזכר, </w:t>
      </w:r>
      <w:r w:rsidRPr="00435653">
        <w:rPr>
          <w:rFonts w:hint="eastAsia"/>
          <w:rtl/>
        </w:rPr>
        <w:t>הרי</w:t>
      </w:r>
      <w:r w:rsidRPr="00435653">
        <w:rPr>
          <w:rtl/>
        </w:rPr>
        <w:t xml:space="preserve"> </w:t>
      </w:r>
      <w:r w:rsidRPr="00435653">
        <w:rPr>
          <w:rFonts w:hint="eastAsia"/>
          <w:rtl/>
        </w:rPr>
        <w:t>שחלק</w:t>
      </w:r>
      <w:r w:rsidRPr="00435653">
        <w:rPr>
          <w:rtl/>
        </w:rPr>
        <w:t xml:space="preserve"> </w:t>
      </w:r>
      <w:r w:rsidRPr="00435653">
        <w:rPr>
          <w:rFonts w:hint="eastAsia"/>
          <w:rtl/>
        </w:rPr>
        <w:t>ניכר</w:t>
      </w:r>
      <w:r w:rsidRPr="00435653">
        <w:rPr>
          <w:rtl/>
        </w:rPr>
        <w:t xml:space="preserve"> </w:t>
      </w:r>
      <w:r w:rsidRPr="00435653">
        <w:rPr>
          <w:rFonts w:hint="eastAsia"/>
          <w:rtl/>
        </w:rPr>
        <w:t>מההסדרים</w:t>
      </w:r>
      <w:r w:rsidRPr="00435653">
        <w:rPr>
          <w:rtl/>
        </w:rPr>
        <w:t xml:space="preserve"> </w:t>
      </w:r>
      <w:r w:rsidRPr="00435653">
        <w:rPr>
          <w:rFonts w:hint="eastAsia"/>
          <w:rtl/>
        </w:rPr>
        <w:t>הקבועים</w:t>
      </w:r>
      <w:r w:rsidRPr="00435653">
        <w:rPr>
          <w:rtl/>
        </w:rPr>
        <w:t xml:space="preserve"> </w:t>
      </w:r>
      <w:r w:rsidRPr="00435653">
        <w:rPr>
          <w:rFonts w:hint="eastAsia"/>
          <w:rtl/>
        </w:rPr>
        <w:t>כיום</w:t>
      </w:r>
      <w:r w:rsidRPr="00435653">
        <w:rPr>
          <w:rtl/>
        </w:rPr>
        <w:t xml:space="preserve"> </w:t>
      </w:r>
      <w:r w:rsidRPr="00435653">
        <w:rPr>
          <w:rFonts w:hint="eastAsia"/>
          <w:rtl/>
        </w:rPr>
        <w:t>בחוק</w:t>
      </w:r>
      <w:r w:rsidRPr="00435653">
        <w:rPr>
          <w:rtl/>
        </w:rPr>
        <w:t xml:space="preserve"> </w:t>
      </w:r>
      <w:r w:rsidRPr="00435653">
        <w:rPr>
          <w:rFonts w:hint="eastAsia"/>
          <w:rtl/>
        </w:rPr>
        <w:t>מבקשים</w:t>
      </w:r>
      <w:r w:rsidRPr="00435653">
        <w:rPr>
          <w:rtl/>
        </w:rPr>
        <w:t xml:space="preserve"> </w:t>
      </w:r>
      <w:r w:rsidRPr="00435653">
        <w:rPr>
          <w:rFonts w:hint="eastAsia"/>
          <w:rtl/>
        </w:rPr>
        <w:t>לייצר</w:t>
      </w:r>
      <w:r w:rsidRPr="00435653">
        <w:rPr>
          <w:rtl/>
        </w:rPr>
        <w:t xml:space="preserve"> </w:t>
      </w:r>
      <w:r w:rsidRPr="00435653">
        <w:rPr>
          <w:rFonts w:hint="eastAsia"/>
          <w:rtl/>
        </w:rPr>
        <w:t>חיץ</w:t>
      </w:r>
      <w:r w:rsidRPr="00435653">
        <w:rPr>
          <w:rtl/>
        </w:rPr>
        <w:t xml:space="preserve"> </w:t>
      </w:r>
      <w:r w:rsidRPr="00435653">
        <w:rPr>
          <w:rFonts w:hint="eastAsia"/>
          <w:rtl/>
        </w:rPr>
        <w:t>בין</w:t>
      </w:r>
      <w:r w:rsidRPr="00435653">
        <w:rPr>
          <w:rtl/>
        </w:rPr>
        <w:t xml:space="preserve"> </w:t>
      </w:r>
      <w:r w:rsidRPr="00435653">
        <w:rPr>
          <w:rFonts w:hint="eastAsia"/>
          <w:rtl/>
        </w:rPr>
        <w:t>הדרג</w:t>
      </w:r>
      <w:r w:rsidRPr="00435653">
        <w:rPr>
          <w:rtl/>
        </w:rPr>
        <w:t xml:space="preserve"> </w:t>
      </w:r>
      <w:r w:rsidRPr="00435653">
        <w:rPr>
          <w:rFonts w:hint="eastAsia"/>
          <w:rtl/>
        </w:rPr>
        <w:t>הפוליטי</w:t>
      </w:r>
      <w:r w:rsidRPr="00435653">
        <w:rPr>
          <w:rtl/>
        </w:rPr>
        <w:t xml:space="preserve"> </w:t>
      </w:r>
      <w:r w:rsidRPr="00435653">
        <w:rPr>
          <w:rFonts w:hint="eastAsia"/>
          <w:rtl/>
        </w:rPr>
        <w:t>לבין</w:t>
      </w:r>
      <w:r w:rsidRPr="00435653">
        <w:rPr>
          <w:rtl/>
        </w:rPr>
        <w:t xml:space="preserve"> </w:t>
      </w:r>
      <w:r w:rsidRPr="00435653">
        <w:rPr>
          <w:rFonts w:hint="eastAsia"/>
          <w:rtl/>
        </w:rPr>
        <w:t>החברה</w:t>
      </w:r>
      <w:r w:rsidRPr="00435653">
        <w:rPr>
          <w:rtl/>
        </w:rPr>
        <w:t xml:space="preserve">, </w:t>
      </w:r>
      <w:r w:rsidRPr="00435653">
        <w:rPr>
          <w:rFonts w:hint="eastAsia"/>
          <w:rtl/>
        </w:rPr>
        <w:t>ולמנוע</w:t>
      </w:r>
      <w:r w:rsidRPr="00435653">
        <w:rPr>
          <w:rtl/>
        </w:rPr>
        <w:t xml:space="preserve"> </w:t>
      </w:r>
      <w:r w:rsidRPr="00435653">
        <w:rPr>
          <w:rFonts w:hint="eastAsia"/>
          <w:rtl/>
        </w:rPr>
        <w:t>מעורבות</w:t>
      </w:r>
      <w:r w:rsidRPr="00435653">
        <w:rPr>
          <w:rtl/>
        </w:rPr>
        <w:t xml:space="preserve"> </w:t>
      </w:r>
      <w:r w:rsidRPr="00435653">
        <w:rPr>
          <w:rFonts w:hint="eastAsia"/>
          <w:rtl/>
        </w:rPr>
        <w:t>של</w:t>
      </w:r>
      <w:r w:rsidRPr="00435653">
        <w:rPr>
          <w:rtl/>
        </w:rPr>
        <w:t xml:space="preserve"> </w:t>
      </w:r>
      <w:r w:rsidRPr="00435653">
        <w:rPr>
          <w:rFonts w:hint="eastAsia"/>
          <w:rtl/>
        </w:rPr>
        <w:t>הממשלה</w:t>
      </w:r>
      <w:r>
        <w:rPr>
          <w:rFonts w:hint="cs"/>
          <w:rtl/>
        </w:rPr>
        <w:t xml:space="preserve"> </w:t>
      </w:r>
      <w:r w:rsidRPr="00435653">
        <w:rPr>
          <w:rFonts w:hint="eastAsia"/>
          <w:rtl/>
        </w:rPr>
        <w:t>בפעילותה</w:t>
      </w:r>
      <w:r w:rsidRPr="00435653">
        <w:rPr>
          <w:rtl/>
        </w:rPr>
        <w:t xml:space="preserve"> </w:t>
      </w:r>
      <w:r w:rsidRPr="00435653">
        <w:rPr>
          <w:rFonts w:hint="eastAsia"/>
          <w:rtl/>
        </w:rPr>
        <w:t>העסקית</w:t>
      </w:r>
      <w:r w:rsidRPr="00435653">
        <w:rPr>
          <w:rtl/>
        </w:rPr>
        <w:t xml:space="preserve"> </w:t>
      </w:r>
      <w:r w:rsidRPr="00435653">
        <w:rPr>
          <w:rFonts w:hint="eastAsia"/>
          <w:rtl/>
        </w:rPr>
        <w:t>השוטפת</w:t>
      </w:r>
      <w:r w:rsidRPr="00435653">
        <w:rPr>
          <w:rFonts w:hint="cs"/>
          <w:rtl/>
        </w:rPr>
        <w:t xml:space="preserve">. זאת, תוך שמירה על עצמאותו של הדירקטוריון ועל מנת לאפשר לו להפעיל את שיקול דעתו לטובתה של החברה. בהשגת תכלית זו, מסייעים גם דיני החברות הכלליים </w:t>
      </w:r>
      <w:r w:rsidRPr="00435653">
        <w:rPr>
          <w:rtl/>
        </w:rPr>
        <w:t>–</w:t>
      </w:r>
      <w:r w:rsidRPr="00435653">
        <w:rPr>
          <w:rFonts w:hint="cs"/>
          <w:rtl/>
        </w:rPr>
        <w:t xml:space="preserve"> ובתוך כך חלים על דירקטור בחברה ממשלתית, ככל דירקטור, חובת האמונים וחובת הזהירות הקבועות בסעיפים 252 ו-254 לחוק החברות, התשנ"ט-1999 </w:t>
      </w:r>
      <w:r w:rsidRPr="00435653">
        <w:rPr>
          <w:rtl/>
        </w:rPr>
        <w:t>(</w:t>
      </w:r>
      <w:r w:rsidRPr="00435653">
        <w:rPr>
          <w:rFonts w:hint="eastAsia"/>
          <w:rtl/>
        </w:rPr>
        <w:t>להלן</w:t>
      </w:r>
      <w:r w:rsidRPr="00435653">
        <w:rPr>
          <w:rtl/>
        </w:rPr>
        <w:t xml:space="preserve">: </w:t>
      </w:r>
      <w:r w:rsidRPr="00435653">
        <w:rPr>
          <w:rFonts w:ascii="Century" w:hAnsi="Century" w:cs="Miriam" w:hint="cs"/>
          <w:b/>
          <w:spacing w:val="0"/>
          <w:sz w:val="22"/>
          <w:szCs w:val="24"/>
          <w:rtl/>
        </w:rPr>
        <w:t>חוק החברות</w:t>
      </w:r>
      <w:r w:rsidRPr="00435653">
        <w:rPr>
          <w:rFonts w:ascii="Century" w:hAnsi="Century" w:hint="cs"/>
          <w:sz w:val="22"/>
          <w:rtl/>
        </w:rPr>
        <w:t>)</w:t>
      </w:r>
      <w:r w:rsidRPr="00435653">
        <w:rPr>
          <w:rFonts w:hint="cs"/>
          <w:rtl/>
        </w:rPr>
        <w:t>).</w:t>
      </w:r>
    </w:p>
    <w:p w:rsidR="00433434" w:rsidRPr="00435653" w:rsidRDefault="00433434" w:rsidP="00433434">
      <w:pPr>
        <w:pStyle w:val="Ruller4"/>
        <w:tabs>
          <w:tab w:val="clear" w:pos="800"/>
        </w:tabs>
        <w:overflowPunct/>
        <w:autoSpaceDE/>
        <w:autoSpaceDN/>
        <w:adjustRightInd/>
        <w:spacing w:before="240" w:after="240"/>
        <w:textAlignment w:val="auto"/>
        <w:rPr>
          <w:rFonts w:ascii="Century" w:hAnsi="Century"/>
        </w:rPr>
      </w:pPr>
      <w:r w:rsidRPr="00435653">
        <w:rPr>
          <w:rFonts w:hint="cs"/>
          <w:rtl/>
        </w:rPr>
        <w:t xml:space="preserve">כפי שיצוין להלן, עצמאות הדירקטוריון מתבטאת, בין היתר, באופן המינוי, כמו גם בתנאי הכשירות </w:t>
      </w:r>
      <w:r w:rsidRPr="00435653">
        <w:rPr>
          <w:rFonts w:ascii="Century" w:hAnsi="Century" w:cs="Miriam" w:hint="cs"/>
          <w:b/>
          <w:spacing w:val="0"/>
          <w:szCs w:val="24"/>
          <w:rtl/>
        </w:rPr>
        <w:t>ובדרכי העברה מכהונה</w:t>
      </w:r>
      <w:r w:rsidRPr="00435653">
        <w:rPr>
          <w:rFonts w:ascii="Century" w:hAnsi="Century" w:hint="cs"/>
          <w:rtl/>
        </w:rPr>
        <w:t xml:space="preserve">, כאשר זו האחרונה אפשרית אך ורק בהתקיים אחת העילות הקבועות בחוק החברות הממשלתיות. בהתייחס לסעיף 22(א)(6) לחוק החברות הממשלתיות, המצוי במוקד ענייננו, הרי שזה קובע כי העברה כאמור אפשרית רק בנסיבות בהן ישנה </w:t>
      </w:r>
      <w:r w:rsidRPr="00435653">
        <w:rPr>
          <w:rFonts w:ascii="Century" w:hAnsi="Century" w:cs="Miriam" w:hint="cs"/>
          <w:b/>
          <w:spacing w:val="0"/>
          <w:szCs w:val="24"/>
          <w:rtl/>
        </w:rPr>
        <w:t>תשתית עובדתית</w:t>
      </w:r>
      <w:r w:rsidRPr="00435653">
        <w:rPr>
          <w:rFonts w:ascii="Century" w:hAnsi="Century" w:hint="cs"/>
          <w:rtl/>
        </w:rPr>
        <w:t xml:space="preserve"> לכך שהדירקטור 'אינו ממלא תפקידו כראוי' </w:t>
      </w:r>
      <w:r w:rsidRPr="00435653">
        <w:rPr>
          <w:rFonts w:ascii="Century" w:hAnsi="Century"/>
          <w:rtl/>
        </w:rPr>
        <w:t>–</w:t>
      </w:r>
      <w:r w:rsidRPr="00435653">
        <w:rPr>
          <w:rFonts w:ascii="Century" w:hAnsi="Century" w:hint="cs"/>
          <w:rtl/>
        </w:rPr>
        <w:t xml:space="preserve"> וזאת, </w:t>
      </w:r>
      <w:r w:rsidRPr="00435653">
        <w:rPr>
          <w:rFonts w:ascii="Century" w:hAnsi="Century" w:cs="Miriam" w:hint="cs"/>
          <w:b/>
          <w:spacing w:val="0"/>
          <w:szCs w:val="24"/>
          <w:rtl/>
        </w:rPr>
        <w:t>לאחר שהשרים נועצו ברשות</w:t>
      </w:r>
      <w:r>
        <w:rPr>
          <w:rFonts w:ascii="Century" w:hAnsi="Century" w:hint="cs"/>
          <w:rtl/>
        </w:rPr>
        <w:t>, ובשונה מנסיבות המקרה שלפנינו</w:t>
      </w:r>
      <w:r w:rsidRPr="00435653">
        <w:rPr>
          <w:rFonts w:ascii="Century" w:hAnsi="Century" w:hint="cs"/>
          <w:rtl/>
        </w:rPr>
        <w:t xml:space="preserve">. </w:t>
      </w:r>
    </w:p>
    <w:p w:rsidR="00433434" w:rsidRPr="00435653" w:rsidRDefault="00433434" w:rsidP="00433434">
      <w:pPr>
        <w:pStyle w:val="Ruller4"/>
        <w:tabs>
          <w:tab w:val="clear" w:pos="800"/>
        </w:tabs>
        <w:overflowPunct/>
        <w:autoSpaceDE/>
        <w:autoSpaceDN/>
        <w:adjustRightInd/>
        <w:spacing w:before="240" w:after="240"/>
        <w:textAlignment w:val="auto"/>
      </w:pPr>
      <w:r w:rsidRPr="00435653">
        <w:rPr>
          <w:rFonts w:hint="cs"/>
          <w:rtl/>
        </w:rPr>
        <w:t xml:space="preserve">אחר דברי הקדמה אלו, ובראי אותה דואליות פונקציונלית המאפיינת חברות ממשלתיות, אבקש בהמשך הדברים להאיר את 'הפרדוקס' הנובע מתחולתם של דיני התאגידים לצד המשפט </w:t>
      </w:r>
      <w:proofErr w:type="spellStart"/>
      <w:r w:rsidRPr="00435653">
        <w:rPr>
          <w:rFonts w:hint="cs"/>
          <w:rtl/>
        </w:rPr>
        <w:t>המינהלי</w:t>
      </w:r>
      <w:proofErr w:type="spellEnd"/>
      <w:r w:rsidRPr="00435653">
        <w:rPr>
          <w:rFonts w:hint="cs"/>
          <w:rtl/>
        </w:rPr>
        <w:t xml:space="preserve">, בעת ובעונה אחת; שהלוא, הלכה למעשה, הדין החל על חברות ממשלתיות נדרש להתמודד עם אותן בעיות יסוד משותפות, הכרוכות בפעילות באמצעות נציגים </w:t>
      </w:r>
      <w:r w:rsidRPr="00435653">
        <w:rPr>
          <w:rtl/>
        </w:rPr>
        <w:t>–</w:t>
      </w:r>
      <w:r w:rsidRPr="00435653">
        <w:rPr>
          <w:rFonts w:hint="cs"/>
          <w:rtl/>
        </w:rPr>
        <w:t xml:space="preserve"> הן במסגרת דיני התאגידים, הן במסגרת המשפט </w:t>
      </w:r>
      <w:proofErr w:type="spellStart"/>
      <w:r w:rsidRPr="00435653">
        <w:rPr>
          <w:rFonts w:hint="cs"/>
          <w:rtl/>
        </w:rPr>
        <w:t>המינהלי</w:t>
      </w:r>
      <w:proofErr w:type="spellEnd"/>
      <w:r w:rsidRPr="00435653">
        <w:rPr>
          <w:rFonts w:hint="cs"/>
          <w:rtl/>
        </w:rPr>
        <w:t>.</w:t>
      </w:r>
    </w:p>
    <w:p w:rsidR="00433434" w:rsidRPr="00435653" w:rsidRDefault="00433434" w:rsidP="00433434">
      <w:pPr>
        <w:pStyle w:val="Ruller4"/>
        <w:tabs>
          <w:tab w:val="clear" w:pos="800"/>
        </w:tabs>
        <w:overflowPunct/>
        <w:autoSpaceDE/>
        <w:autoSpaceDN/>
        <w:adjustRightInd/>
        <w:spacing w:before="240" w:after="240"/>
        <w:textAlignment w:val="auto"/>
      </w:pPr>
      <w:r w:rsidRPr="00435653">
        <w:rPr>
          <w:rFonts w:hint="cs"/>
          <w:rtl/>
        </w:rPr>
        <w:t xml:space="preserve">ודוק: כפי שיבואר להלן, מהוראות חוק החברות הממשלתיות עולה, כי המחוקק נתן דעתו לקשיים אלו גם יחד. בפרט, בחר המחוקק להטיל על רשות החברות הממשלתיות תפקיד משמעותי בהתמודדות עם הקשיים המתעוררים ביחס לחברות הממשלתיות, תחת שתי מסגרות הדינים הרלבנטיות. </w:t>
      </w:r>
    </w:p>
    <w:p w:rsidR="00433434" w:rsidRPr="00435653" w:rsidRDefault="00433434" w:rsidP="00433434">
      <w:pPr>
        <w:pStyle w:val="Ruller4"/>
        <w:tabs>
          <w:tab w:val="clear" w:pos="800"/>
        </w:tabs>
        <w:overflowPunct/>
        <w:autoSpaceDE/>
        <w:autoSpaceDN/>
        <w:adjustRightInd/>
        <w:spacing w:before="240" w:after="240"/>
        <w:textAlignment w:val="auto"/>
        <w:rPr>
          <w:rtl/>
        </w:rPr>
      </w:pPr>
      <w:r w:rsidRPr="00435653">
        <w:rPr>
          <w:rFonts w:hint="cs"/>
          <w:rtl/>
        </w:rPr>
        <w:t xml:space="preserve">סבורני, כי  יהיה בדבריי אלו כדי לחדד את חומרת הפגם הנובע מהאופן שבו נערכה ההיוועצות ברשות החברות הממשלתיות בענייננו, כמו גם כדי להאיר את יתר הפגמים </w:t>
      </w:r>
      <w:proofErr w:type="spellStart"/>
      <w:r w:rsidRPr="00435653">
        <w:rPr>
          <w:rFonts w:hint="cs"/>
          <w:rtl/>
        </w:rPr>
        <w:t>המינהליים</w:t>
      </w:r>
      <w:proofErr w:type="spellEnd"/>
      <w:r w:rsidRPr="00435653">
        <w:rPr>
          <w:rFonts w:hint="cs"/>
          <w:rtl/>
        </w:rPr>
        <w:t xml:space="preserve"> שנפלו בהחלטת השרים כאן, גם מן הפן התאגידי שלהם. </w:t>
      </w:r>
    </w:p>
    <w:p w:rsidR="00433434" w:rsidRPr="00435653" w:rsidRDefault="00433434" w:rsidP="00433434">
      <w:pPr>
        <w:pStyle w:val="Ruller4"/>
        <w:tabs>
          <w:tab w:val="clear" w:pos="800"/>
        </w:tabs>
        <w:overflowPunct/>
        <w:autoSpaceDE/>
        <w:autoSpaceDN/>
        <w:adjustRightInd/>
        <w:spacing w:before="240" w:after="240"/>
        <w:textAlignment w:val="auto"/>
      </w:pPr>
      <w:r w:rsidRPr="00FA71DE">
        <w:rPr>
          <w:rFonts w:ascii="Century" w:hAnsi="Century" w:cs="Miriam" w:hint="eastAsia"/>
          <w:b/>
          <w:spacing w:val="0"/>
          <w:sz w:val="22"/>
          <w:szCs w:val="24"/>
          <w:rtl/>
        </w:rPr>
        <w:t>סדר</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הדברים</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יהיה</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כדלהלן</w:t>
      </w:r>
      <w:r w:rsidRPr="00435653">
        <w:rPr>
          <w:rtl/>
        </w:rPr>
        <w:t xml:space="preserve">: </w:t>
      </w:r>
      <w:r w:rsidRPr="00435653">
        <w:rPr>
          <w:rFonts w:ascii="Century" w:hAnsi="Century" w:hint="eastAsia"/>
          <w:sz w:val="22"/>
          <w:rtl/>
        </w:rPr>
        <w:t>תחילה</w:t>
      </w:r>
      <w:r w:rsidRPr="00435653">
        <w:rPr>
          <w:rtl/>
        </w:rPr>
        <w:t xml:space="preserve">, </w:t>
      </w:r>
      <w:r w:rsidRPr="00435653">
        <w:rPr>
          <w:rFonts w:hint="eastAsia"/>
          <w:rtl/>
        </w:rPr>
        <w:t>אתייחס</w:t>
      </w:r>
      <w:r w:rsidRPr="00435653">
        <w:rPr>
          <w:rtl/>
        </w:rPr>
        <w:t xml:space="preserve"> </w:t>
      </w:r>
      <w:r w:rsidRPr="00FA71DE">
        <w:rPr>
          <w:rFonts w:ascii="Century" w:hAnsi="Century" w:cs="Miriam" w:hint="eastAsia"/>
          <w:b/>
          <w:spacing w:val="0"/>
          <w:sz w:val="22"/>
          <w:szCs w:val="24"/>
          <w:rtl/>
        </w:rPr>
        <w:t>לבעיות</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הנציג</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הייחודיות</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שמתעוררות</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בקשר</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לחברות</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הממשלתיות</w:t>
      </w:r>
      <w:r w:rsidRPr="00435653">
        <w:rPr>
          <w:rtl/>
        </w:rPr>
        <w:t xml:space="preserve">, </w:t>
      </w:r>
      <w:r w:rsidRPr="00435653">
        <w:rPr>
          <w:rFonts w:hint="eastAsia"/>
          <w:rtl/>
        </w:rPr>
        <w:t>בראי</w:t>
      </w:r>
      <w:r w:rsidRPr="00435653">
        <w:rPr>
          <w:rtl/>
        </w:rPr>
        <w:t xml:space="preserve"> </w:t>
      </w:r>
      <w:r w:rsidRPr="00435653">
        <w:rPr>
          <w:rFonts w:hint="eastAsia"/>
          <w:rtl/>
        </w:rPr>
        <w:t>מערכות</w:t>
      </w:r>
      <w:r w:rsidRPr="00435653">
        <w:rPr>
          <w:rtl/>
        </w:rPr>
        <w:t xml:space="preserve"> </w:t>
      </w:r>
      <w:r w:rsidRPr="00435653">
        <w:rPr>
          <w:rFonts w:hint="eastAsia"/>
          <w:rtl/>
        </w:rPr>
        <w:t>הדינים</w:t>
      </w:r>
      <w:r w:rsidRPr="00435653">
        <w:rPr>
          <w:rFonts w:hint="cs"/>
          <w:rtl/>
        </w:rPr>
        <w:t xml:space="preserve"> החלות</w:t>
      </w:r>
      <w:r w:rsidRPr="00435653">
        <w:rPr>
          <w:rtl/>
        </w:rPr>
        <w:t xml:space="preserve"> </w:t>
      </w:r>
      <w:r w:rsidRPr="00435653">
        <w:rPr>
          <w:rFonts w:hint="cs"/>
          <w:rtl/>
        </w:rPr>
        <w:t>עליהן,</w:t>
      </w:r>
      <w:r w:rsidRPr="00435653">
        <w:rPr>
          <w:rtl/>
        </w:rPr>
        <w:t xml:space="preserve"> </w:t>
      </w:r>
      <w:r w:rsidRPr="00435653">
        <w:rPr>
          <w:rFonts w:hint="eastAsia"/>
          <w:rtl/>
        </w:rPr>
        <w:t>ובשים</w:t>
      </w:r>
      <w:r w:rsidRPr="00435653">
        <w:rPr>
          <w:rtl/>
        </w:rPr>
        <w:t xml:space="preserve"> </w:t>
      </w:r>
      <w:r w:rsidRPr="00435653">
        <w:rPr>
          <w:rFonts w:hint="eastAsia"/>
          <w:rtl/>
        </w:rPr>
        <w:t>לב</w:t>
      </w:r>
      <w:r w:rsidRPr="00435653">
        <w:rPr>
          <w:rtl/>
        </w:rPr>
        <w:t xml:space="preserve"> </w:t>
      </w:r>
      <w:r w:rsidRPr="00435653">
        <w:rPr>
          <w:rFonts w:hint="eastAsia"/>
          <w:rtl/>
        </w:rPr>
        <w:t>להוראות</w:t>
      </w:r>
      <w:r w:rsidRPr="00435653">
        <w:rPr>
          <w:rtl/>
        </w:rPr>
        <w:t xml:space="preserve"> </w:t>
      </w:r>
      <w:r w:rsidRPr="00435653">
        <w:rPr>
          <w:rFonts w:hint="eastAsia"/>
          <w:rtl/>
        </w:rPr>
        <w:t>חוק</w:t>
      </w:r>
      <w:r w:rsidRPr="00435653">
        <w:rPr>
          <w:rtl/>
        </w:rPr>
        <w:t xml:space="preserve"> </w:t>
      </w:r>
      <w:r w:rsidRPr="00435653">
        <w:rPr>
          <w:rFonts w:hint="eastAsia"/>
          <w:rtl/>
        </w:rPr>
        <w:t>החברות</w:t>
      </w:r>
      <w:r w:rsidRPr="00435653">
        <w:rPr>
          <w:rtl/>
        </w:rPr>
        <w:t xml:space="preserve"> </w:t>
      </w:r>
      <w:r w:rsidRPr="00435653">
        <w:rPr>
          <w:rFonts w:hint="eastAsia"/>
          <w:rtl/>
        </w:rPr>
        <w:t>הממשלתיות</w:t>
      </w:r>
      <w:r w:rsidRPr="00435653">
        <w:rPr>
          <w:rtl/>
        </w:rPr>
        <w:t xml:space="preserve">. </w:t>
      </w:r>
      <w:r w:rsidRPr="00435653">
        <w:rPr>
          <w:rFonts w:hint="eastAsia"/>
          <w:rtl/>
        </w:rPr>
        <w:t>בתוך</w:t>
      </w:r>
      <w:r w:rsidRPr="00435653">
        <w:rPr>
          <w:rtl/>
        </w:rPr>
        <w:t xml:space="preserve"> </w:t>
      </w:r>
      <w:r w:rsidRPr="00435653">
        <w:rPr>
          <w:rFonts w:hint="eastAsia"/>
          <w:rtl/>
        </w:rPr>
        <w:t>כך</w:t>
      </w:r>
      <w:r w:rsidRPr="00435653">
        <w:rPr>
          <w:rtl/>
        </w:rPr>
        <w:t xml:space="preserve">, </w:t>
      </w:r>
      <w:r w:rsidRPr="00435653">
        <w:rPr>
          <w:rFonts w:hint="cs"/>
          <w:rtl/>
        </w:rPr>
        <w:t xml:space="preserve">אבקש להדגיש את </w:t>
      </w:r>
      <w:r w:rsidRPr="00FA71DE">
        <w:rPr>
          <w:rFonts w:ascii="Century" w:hAnsi="Century" w:cs="Miriam" w:hint="cs"/>
          <w:b/>
          <w:spacing w:val="0"/>
          <w:sz w:val="22"/>
          <w:szCs w:val="24"/>
          <w:rtl/>
        </w:rPr>
        <w:t xml:space="preserve">התפקיד המרכזי שהוטל על </w:t>
      </w:r>
      <w:r w:rsidRPr="00FA71DE">
        <w:rPr>
          <w:rFonts w:ascii="Century" w:hAnsi="Century" w:cs="Miriam" w:hint="eastAsia"/>
          <w:b/>
          <w:spacing w:val="0"/>
          <w:sz w:val="22"/>
          <w:szCs w:val="24"/>
          <w:rtl/>
        </w:rPr>
        <w:t>רשות</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החברות</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הממשלתיות</w:t>
      </w:r>
      <w:r w:rsidRPr="00435653">
        <w:rPr>
          <w:rFonts w:hint="cs"/>
          <w:rtl/>
        </w:rPr>
        <w:t>,</w:t>
      </w:r>
      <w:r w:rsidRPr="00435653">
        <w:rPr>
          <w:rtl/>
        </w:rPr>
        <w:t xml:space="preserve"> </w:t>
      </w:r>
      <w:r w:rsidRPr="00435653">
        <w:rPr>
          <w:rFonts w:hint="eastAsia"/>
          <w:rtl/>
        </w:rPr>
        <w:t>לשם</w:t>
      </w:r>
      <w:r w:rsidRPr="00435653">
        <w:rPr>
          <w:rtl/>
        </w:rPr>
        <w:t xml:space="preserve"> </w:t>
      </w:r>
      <w:r w:rsidRPr="00435653">
        <w:rPr>
          <w:rFonts w:hint="eastAsia"/>
          <w:rtl/>
        </w:rPr>
        <w:t>התמודדות</w:t>
      </w:r>
      <w:r w:rsidRPr="00435653">
        <w:rPr>
          <w:rtl/>
        </w:rPr>
        <w:t xml:space="preserve"> </w:t>
      </w:r>
      <w:r w:rsidRPr="00435653">
        <w:rPr>
          <w:rFonts w:hint="eastAsia"/>
          <w:rtl/>
        </w:rPr>
        <w:t>עם</w:t>
      </w:r>
      <w:r w:rsidRPr="00435653">
        <w:rPr>
          <w:rtl/>
        </w:rPr>
        <w:t xml:space="preserve"> </w:t>
      </w:r>
      <w:r w:rsidRPr="00435653">
        <w:rPr>
          <w:rFonts w:hint="eastAsia"/>
          <w:rtl/>
        </w:rPr>
        <w:t>כלל</w:t>
      </w:r>
      <w:r w:rsidRPr="00435653">
        <w:rPr>
          <w:rtl/>
        </w:rPr>
        <w:t xml:space="preserve"> </w:t>
      </w:r>
      <w:r w:rsidRPr="00435653">
        <w:rPr>
          <w:rFonts w:hint="eastAsia"/>
          <w:rtl/>
        </w:rPr>
        <w:t>בעיות</w:t>
      </w:r>
      <w:r w:rsidRPr="00435653">
        <w:rPr>
          <w:rtl/>
        </w:rPr>
        <w:t xml:space="preserve"> </w:t>
      </w:r>
      <w:r w:rsidRPr="00435653">
        <w:rPr>
          <w:rFonts w:hint="eastAsia"/>
          <w:rtl/>
        </w:rPr>
        <w:t>אלו</w:t>
      </w:r>
      <w:r w:rsidRPr="00435653">
        <w:rPr>
          <w:rtl/>
        </w:rPr>
        <w:t xml:space="preserve">. </w:t>
      </w:r>
      <w:r w:rsidRPr="00435653">
        <w:rPr>
          <w:rFonts w:hint="eastAsia"/>
          <w:rtl/>
        </w:rPr>
        <w:t>בראי</w:t>
      </w:r>
      <w:r w:rsidRPr="00435653">
        <w:rPr>
          <w:rtl/>
        </w:rPr>
        <w:t xml:space="preserve"> </w:t>
      </w:r>
      <w:r w:rsidRPr="00435653">
        <w:rPr>
          <w:rFonts w:hint="eastAsia"/>
          <w:rtl/>
        </w:rPr>
        <w:t>דברים</w:t>
      </w:r>
      <w:r w:rsidRPr="00435653">
        <w:rPr>
          <w:rtl/>
        </w:rPr>
        <w:t xml:space="preserve"> </w:t>
      </w:r>
      <w:r w:rsidRPr="00435653">
        <w:rPr>
          <w:rFonts w:hint="eastAsia"/>
          <w:rtl/>
        </w:rPr>
        <w:t>אלו</w:t>
      </w:r>
      <w:r w:rsidRPr="00435653">
        <w:rPr>
          <w:rtl/>
        </w:rPr>
        <w:t xml:space="preserve">, </w:t>
      </w:r>
      <w:r w:rsidRPr="00435653">
        <w:rPr>
          <w:rFonts w:hint="cs"/>
          <w:rtl/>
        </w:rPr>
        <w:t>אעמוד גם על</w:t>
      </w:r>
      <w:r w:rsidRPr="00435653">
        <w:rPr>
          <w:rtl/>
        </w:rPr>
        <w:t xml:space="preserve"> </w:t>
      </w:r>
      <w:r w:rsidRPr="00FA71DE">
        <w:rPr>
          <w:rFonts w:ascii="Century" w:hAnsi="Century" w:cs="Miriam" w:hint="eastAsia"/>
          <w:b/>
          <w:spacing w:val="0"/>
          <w:sz w:val="22"/>
          <w:szCs w:val="24"/>
          <w:rtl/>
        </w:rPr>
        <w:t>חומרת</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הפגם</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הגלום</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באופן</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שב</w:t>
      </w:r>
      <w:r w:rsidRPr="00FA71DE">
        <w:rPr>
          <w:rFonts w:ascii="Century" w:hAnsi="Century" w:cs="Miriam" w:hint="cs"/>
          <w:b/>
          <w:spacing w:val="0"/>
          <w:sz w:val="22"/>
          <w:szCs w:val="24"/>
          <w:rtl/>
        </w:rPr>
        <w:t>ו</w:t>
      </w:r>
      <w:r w:rsidRPr="00FA71DE">
        <w:rPr>
          <w:rFonts w:ascii="Century" w:hAnsi="Century" w:cs="Miriam"/>
          <w:b/>
          <w:spacing w:val="0"/>
          <w:sz w:val="22"/>
          <w:szCs w:val="24"/>
          <w:rtl/>
        </w:rPr>
        <w:t xml:space="preserve"> </w:t>
      </w:r>
      <w:r w:rsidRPr="00FA71DE">
        <w:rPr>
          <w:rFonts w:ascii="Century" w:hAnsi="Century" w:cs="Miriam" w:hint="cs"/>
          <w:b/>
          <w:spacing w:val="0"/>
          <w:sz w:val="22"/>
          <w:szCs w:val="24"/>
          <w:rtl/>
        </w:rPr>
        <w:t>נערכה</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ההיוועצות</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ברשות</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בענייננו</w:t>
      </w:r>
      <w:r w:rsidRPr="00435653">
        <w:rPr>
          <w:rtl/>
        </w:rPr>
        <w:t xml:space="preserve">. </w:t>
      </w:r>
      <w:r w:rsidRPr="00435653">
        <w:rPr>
          <w:rFonts w:hint="eastAsia"/>
          <w:rtl/>
        </w:rPr>
        <w:t>לבסוף</w:t>
      </w:r>
      <w:r w:rsidRPr="00435653">
        <w:rPr>
          <w:rtl/>
        </w:rPr>
        <w:t xml:space="preserve">, </w:t>
      </w:r>
      <w:r w:rsidRPr="00435653">
        <w:rPr>
          <w:rFonts w:hint="cs"/>
          <w:rtl/>
        </w:rPr>
        <w:lastRenderedPageBreak/>
        <w:t>אדרש לכל</w:t>
      </w:r>
      <w:r w:rsidRPr="00435653">
        <w:rPr>
          <w:rtl/>
        </w:rPr>
        <w:t xml:space="preserve"> </w:t>
      </w:r>
      <w:r w:rsidRPr="00FA71DE">
        <w:rPr>
          <w:rFonts w:ascii="Century" w:hAnsi="Century" w:cs="Miriam" w:hint="eastAsia"/>
          <w:b/>
          <w:spacing w:val="0"/>
          <w:sz w:val="22"/>
          <w:szCs w:val="24"/>
          <w:rtl/>
        </w:rPr>
        <w:t>יתר</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הפגמים</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שנפלו</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בהליך</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קבלת</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ההחלטה</w:t>
      </w:r>
      <w:r w:rsidRPr="00435653">
        <w:rPr>
          <w:rtl/>
        </w:rPr>
        <w:t xml:space="preserve">, </w:t>
      </w:r>
      <w:r w:rsidRPr="00435653">
        <w:rPr>
          <w:rFonts w:hint="eastAsia"/>
          <w:rtl/>
        </w:rPr>
        <w:t>עליהם</w:t>
      </w:r>
      <w:r w:rsidRPr="00435653">
        <w:rPr>
          <w:rtl/>
        </w:rPr>
        <w:t xml:space="preserve"> </w:t>
      </w:r>
      <w:r w:rsidRPr="00435653">
        <w:rPr>
          <w:rFonts w:hint="eastAsia"/>
          <w:rtl/>
        </w:rPr>
        <w:t>עמדו</w:t>
      </w:r>
      <w:r w:rsidRPr="00435653">
        <w:rPr>
          <w:rtl/>
        </w:rPr>
        <w:t xml:space="preserve"> </w:t>
      </w:r>
      <w:r w:rsidRPr="00435653">
        <w:rPr>
          <w:rFonts w:hint="eastAsia"/>
          <w:rtl/>
        </w:rPr>
        <w:t>חבריי</w:t>
      </w:r>
      <w:r w:rsidRPr="00435653">
        <w:rPr>
          <w:rFonts w:hint="cs"/>
          <w:rtl/>
        </w:rPr>
        <w:t xml:space="preserve"> בהרחבה</w:t>
      </w:r>
      <w:r w:rsidRPr="00435653">
        <w:rPr>
          <w:rtl/>
        </w:rPr>
        <w:t xml:space="preserve">, </w:t>
      </w:r>
      <w:r w:rsidRPr="00435653">
        <w:rPr>
          <w:rFonts w:hint="cs"/>
          <w:rtl/>
        </w:rPr>
        <w:t xml:space="preserve">אך זאת מתוך </w:t>
      </w:r>
      <w:r w:rsidRPr="00FA71DE">
        <w:rPr>
          <w:rFonts w:ascii="Century" w:hAnsi="Century" w:cs="Miriam" w:hint="cs"/>
          <w:b/>
          <w:spacing w:val="0"/>
          <w:sz w:val="22"/>
          <w:szCs w:val="24"/>
          <w:rtl/>
        </w:rPr>
        <w:t xml:space="preserve">פריזמת ההתבוננות של </w:t>
      </w:r>
      <w:r w:rsidRPr="00FA71DE">
        <w:rPr>
          <w:rFonts w:ascii="Century" w:hAnsi="Century" w:cs="Miriam" w:hint="eastAsia"/>
          <w:b/>
          <w:spacing w:val="0"/>
          <w:sz w:val="22"/>
          <w:szCs w:val="24"/>
          <w:rtl/>
        </w:rPr>
        <w:t>דיני</w:t>
      </w:r>
      <w:r w:rsidRPr="00FA71DE">
        <w:rPr>
          <w:rFonts w:ascii="Century" w:hAnsi="Century" w:cs="Miriam"/>
          <w:b/>
          <w:spacing w:val="0"/>
          <w:sz w:val="22"/>
          <w:szCs w:val="24"/>
          <w:rtl/>
        </w:rPr>
        <w:t xml:space="preserve"> </w:t>
      </w:r>
      <w:r w:rsidRPr="00FA71DE">
        <w:rPr>
          <w:rFonts w:ascii="Century" w:hAnsi="Century" w:cs="Miriam" w:hint="eastAsia"/>
          <w:b/>
          <w:spacing w:val="0"/>
          <w:sz w:val="22"/>
          <w:szCs w:val="24"/>
          <w:rtl/>
        </w:rPr>
        <w:t>התאגידים</w:t>
      </w:r>
      <w:r w:rsidRPr="00435653">
        <w:rPr>
          <w:rtl/>
        </w:rPr>
        <w:t xml:space="preserve">.  </w:t>
      </w:r>
    </w:p>
    <w:p w:rsidR="00433434" w:rsidRPr="00435653" w:rsidRDefault="00433434" w:rsidP="008A79B6">
      <w:pPr>
        <w:pStyle w:val="Ruller4"/>
        <w:numPr>
          <w:ilvl w:val="0"/>
          <w:numId w:val="0"/>
        </w:numPr>
        <w:tabs>
          <w:tab w:val="clear" w:pos="800"/>
        </w:tabs>
        <w:overflowPunct/>
        <w:autoSpaceDE/>
        <w:autoSpaceDN/>
        <w:adjustRightInd/>
        <w:spacing w:before="240" w:after="240"/>
        <w:textAlignment w:val="auto"/>
        <w:rPr>
          <w:rFonts w:ascii="Century" w:hAnsi="Century" w:cs="Miriam"/>
          <w:b/>
          <w:spacing w:val="0"/>
          <w:sz w:val="22"/>
          <w:szCs w:val="24"/>
          <w:rtl/>
        </w:rPr>
      </w:pPr>
      <w:r w:rsidRPr="00435653">
        <w:rPr>
          <w:rFonts w:ascii="Century" w:hAnsi="Century" w:cs="Miriam" w:hint="cs"/>
          <w:b/>
          <w:spacing w:val="0"/>
          <w:sz w:val="22"/>
          <w:szCs w:val="24"/>
          <w:rtl/>
        </w:rPr>
        <w:t xml:space="preserve">על השימוש בנציגים </w:t>
      </w:r>
      <w:proofErr w:type="spellStart"/>
      <w:r w:rsidRPr="00435653">
        <w:rPr>
          <w:rFonts w:ascii="Century" w:hAnsi="Century" w:cs="Miriam" w:hint="cs"/>
          <w:b/>
          <w:spacing w:val="0"/>
          <w:sz w:val="22"/>
          <w:szCs w:val="24"/>
          <w:rtl/>
        </w:rPr>
        <w:t>במינהל</w:t>
      </w:r>
      <w:proofErr w:type="spellEnd"/>
      <w:r w:rsidRPr="00435653">
        <w:rPr>
          <w:rFonts w:ascii="Century" w:hAnsi="Century" w:cs="Miriam" w:hint="cs"/>
          <w:b/>
          <w:spacing w:val="0"/>
          <w:sz w:val="22"/>
          <w:szCs w:val="24"/>
          <w:rtl/>
        </w:rPr>
        <w:t xml:space="preserve"> הציבורי ובתאגידים </w:t>
      </w:r>
    </w:p>
    <w:p w:rsidR="00433434" w:rsidRPr="00435653" w:rsidRDefault="00433434" w:rsidP="00433434">
      <w:pPr>
        <w:pStyle w:val="Ruller4"/>
        <w:tabs>
          <w:tab w:val="clear" w:pos="800"/>
        </w:tabs>
        <w:overflowPunct/>
        <w:autoSpaceDE/>
        <w:autoSpaceDN/>
        <w:adjustRightInd/>
        <w:spacing w:before="240" w:after="240"/>
        <w:textAlignment w:val="auto"/>
      </w:pPr>
      <w:r w:rsidRPr="00435653">
        <w:t>"With great power there must also come – great responsibility"</w:t>
      </w:r>
      <w:r w:rsidRPr="00435653">
        <w:rPr>
          <w:rFonts w:hint="cs"/>
          <w:rtl/>
        </w:rPr>
        <w:t xml:space="preserve">. מימרה זו, אשר שורשיה הוותיקים נטועים עוד במהפכה הצרפתית, מבטאת את הרעיון לפיו כל אימת שבידי אדם או ארגון מופקד כוח להשפיע על </w:t>
      </w:r>
      <w:r w:rsidRPr="00435653">
        <w:rPr>
          <w:rFonts w:ascii="Century" w:hAnsi="Century" w:hint="eastAsia"/>
          <w:sz w:val="22"/>
          <w:rtl/>
        </w:rPr>
        <w:t>אחר</w:t>
      </w:r>
      <w:r w:rsidRPr="00435653">
        <w:rPr>
          <w:rFonts w:ascii="Century" w:hAnsi="Century" w:hint="cs"/>
          <w:sz w:val="22"/>
          <w:rtl/>
        </w:rPr>
        <w:t xml:space="preserve">, יש לרסן כוח זה באמצעות הטלת מגבלות על אופן הפעלתו. רעיון זה קשור בטבורו בקשיים הנלווים באופן טבעי לפעילותו של ארגון, גוף או קבוצת פרטים על ידי שימוש </w:t>
      </w:r>
      <w:r w:rsidRPr="00435653">
        <w:rPr>
          <w:rFonts w:ascii="Century" w:hAnsi="Century" w:cs="Miriam" w:hint="cs"/>
          <w:b/>
          <w:spacing w:val="0"/>
          <w:sz w:val="22"/>
          <w:szCs w:val="24"/>
          <w:rtl/>
        </w:rPr>
        <w:t>בנציגים</w:t>
      </w:r>
      <w:r w:rsidRPr="00435653">
        <w:rPr>
          <w:rFonts w:ascii="Century" w:hAnsi="Century" w:hint="cs"/>
          <w:sz w:val="22"/>
          <w:rtl/>
        </w:rPr>
        <w:t>.</w:t>
      </w:r>
    </w:p>
    <w:p w:rsidR="00433434" w:rsidRPr="00435653" w:rsidRDefault="00433434" w:rsidP="00433434">
      <w:pPr>
        <w:pStyle w:val="Ruller4"/>
        <w:tabs>
          <w:tab w:val="clear" w:pos="800"/>
        </w:tabs>
        <w:overflowPunct/>
        <w:autoSpaceDE/>
        <w:autoSpaceDN/>
        <w:adjustRightInd/>
        <w:spacing w:before="240" w:after="240"/>
        <w:textAlignment w:val="auto"/>
        <w:rPr>
          <w:rtl/>
        </w:rPr>
      </w:pPr>
      <w:r w:rsidRPr="00435653">
        <w:rPr>
          <w:rFonts w:ascii="Century" w:hAnsi="Century" w:hint="cs"/>
          <w:sz w:val="22"/>
          <w:rtl/>
        </w:rPr>
        <w:t>השימוש בנציגים יוצר, אם כן, תופעה מוכרת היטב, המכונה בספרות "בעיית הנציג" (</w:t>
      </w:r>
      <w:r w:rsidRPr="00435653">
        <w:rPr>
          <w:rFonts w:ascii="Century" w:hAnsi="Century"/>
          <w:sz w:val="22"/>
        </w:rPr>
        <w:t>Principal-Agent Problem</w:t>
      </w:r>
      <w:r w:rsidRPr="00435653">
        <w:rPr>
          <w:rFonts w:ascii="Century" w:hAnsi="Century" w:hint="cs"/>
          <w:sz w:val="22"/>
          <w:rtl/>
        </w:rPr>
        <w:t xml:space="preserve">) (ראו למשל: </w:t>
      </w:r>
      <w:r w:rsidRPr="00435653">
        <w:rPr>
          <w:rFonts w:ascii="Century" w:hAnsi="Century"/>
          <w:sz w:val="22"/>
        </w:rPr>
        <w:t>Zohar Goshen &amp; Richard Squire, </w:t>
      </w:r>
      <w:r w:rsidRPr="00435653">
        <w:rPr>
          <w:rFonts w:ascii="Century" w:hAnsi="Century"/>
          <w:i/>
          <w:iCs/>
          <w:sz w:val="22"/>
        </w:rPr>
        <w:t>Principal Costs: A New Theory for Corporate Law and Governance</w:t>
      </w:r>
      <w:r w:rsidRPr="00435653">
        <w:rPr>
          <w:rFonts w:ascii="Century" w:hAnsi="Century"/>
          <w:sz w:val="22"/>
        </w:rPr>
        <w:t>, 117 </w:t>
      </w:r>
      <w:r w:rsidRPr="00435653">
        <w:rPr>
          <w:rFonts w:ascii="Century" w:hAnsi="Century"/>
          <w:smallCaps/>
          <w:sz w:val="22"/>
        </w:rPr>
        <w:t>COLUM. L. REV.</w:t>
      </w:r>
      <w:r w:rsidRPr="00435653">
        <w:rPr>
          <w:rFonts w:ascii="Century" w:hAnsi="Century"/>
          <w:sz w:val="22"/>
        </w:rPr>
        <w:t xml:space="preserve"> 767 (2017)</w:t>
      </w:r>
      <w:r w:rsidRPr="00435653">
        <w:rPr>
          <w:rFonts w:ascii="Century" w:hAnsi="Century" w:hint="cs"/>
          <w:sz w:val="22"/>
          <w:rtl/>
        </w:rPr>
        <w:t xml:space="preserve">; יוסף גרוס </w:t>
      </w:r>
      <w:r w:rsidRPr="00435653">
        <w:rPr>
          <w:rFonts w:ascii="Century" w:hAnsi="Century" w:cs="Miriam" w:hint="cs"/>
          <w:b/>
          <w:spacing w:val="0"/>
          <w:sz w:val="22"/>
          <w:szCs w:val="24"/>
          <w:rtl/>
        </w:rPr>
        <w:t>דירקטורים ונושאי משרה בעידן הממשל התאגידי</w:t>
      </w:r>
      <w:r w:rsidRPr="00435653">
        <w:rPr>
          <w:rFonts w:ascii="Century" w:hAnsi="Century" w:hint="cs"/>
          <w:sz w:val="22"/>
          <w:rtl/>
        </w:rPr>
        <w:t xml:space="preserve"> 295 (מהדורה חמישית 2018) </w:t>
      </w:r>
      <w:r w:rsidRPr="00435653">
        <w:rPr>
          <w:rFonts w:ascii="Century" w:hAnsi="Century"/>
          <w:sz w:val="22"/>
          <w:rtl/>
        </w:rPr>
        <w:t>(</w:t>
      </w:r>
      <w:r w:rsidRPr="00435653">
        <w:rPr>
          <w:rFonts w:ascii="Century" w:hAnsi="Century" w:hint="eastAsia"/>
          <w:sz w:val="22"/>
          <w:rtl/>
        </w:rPr>
        <w:t>להלן</w:t>
      </w:r>
      <w:r w:rsidRPr="00435653">
        <w:rPr>
          <w:rFonts w:ascii="Century" w:hAnsi="Century"/>
          <w:sz w:val="22"/>
          <w:rtl/>
        </w:rPr>
        <w:t xml:space="preserve">: </w:t>
      </w:r>
      <w:r w:rsidRPr="00435653">
        <w:rPr>
          <w:rFonts w:ascii="Century" w:hAnsi="Century" w:cs="Miriam" w:hint="cs"/>
          <w:b/>
          <w:spacing w:val="0"/>
          <w:sz w:val="22"/>
          <w:szCs w:val="24"/>
          <w:rtl/>
        </w:rPr>
        <w:t xml:space="preserve">גרוס </w:t>
      </w:r>
      <w:r w:rsidRPr="00435653">
        <w:rPr>
          <w:rFonts w:ascii="Century" w:hAnsi="Century" w:cs="Miriam"/>
          <w:b/>
          <w:spacing w:val="0"/>
          <w:sz w:val="22"/>
          <w:szCs w:val="24"/>
          <w:rtl/>
        </w:rPr>
        <w:t>–</w:t>
      </w:r>
      <w:r w:rsidRPr="00435653">
        <w:rPr>
          <w:rFonts w:ascii="Century" w:hAnsi="Century" w:cs="Miriam" w:hint="cs"/>
          <w:b/>
          <w:spacing w:val="0"/>
          <w:sz w:val="22"/>
          <w:szCs w:val="24"/>
          <w:rtl/>
        </w:rPr>
        <w:t xml:space="preserve"> דירקטורים</w:t>
      </w:r>
      <w:r w:rsidRPr="00435653">
        <w:rPr>
          <w:rFonts w:ascii="Century" w:hAnsi="Century" w:hint="cs"/>
          <w:sz w:val="22"/>
          <w:rtl/>
        </w:rPr>
        <w:t xml:space="preserve">); ע"א 7594/16 </w:t>
      </w:r>
      <w:r w:rsidRPr="00435653">
        <w:rPr>
          <w:rFonts w:ascii="Century" w:hAnsi="Century" w:cs="Miriam" w:hint="cs"/>
          <w:b/>
          <w:spacing w:val="0"/>
          <w:sz w:val="22"/>
          <w:szCs w:val="24"/>
          <w:rtl/>
        </w:rPr>
        <w:t>מולכו נ' בנק מזרחי טפחות בע"מ</w:t>
      </w:r>
      <w:r w:rsidRPr="00435653">
        <w:rPr>
          <w:rFonts w:ascii="Century" w:hAnsi="Century" w:hint="cs"/>
          <w:sz w:val="22"/>
          <w:rtl/>
        </w:rPr>
        <w:t xml:space="preserve">, פסקה 34 (25.03.2021)). כפי שיורחב מיד, ההכרה בקשיים ובעלויות הכרוכים בשימוש בנציגים עוברת כחוט השני במשפט </w:t>
      </w:r>
      <w:proofErr w:type="spellStart"/>
      <w:r w:rsidRPr="00435653">
        <w:rPr>
          <w:rFonts w:ascii="Century" w:hAnsi="Century" w:hint="cs"/>
          <w:sz w:val="22"/>
          <w:rtl/>
        </w:rPr>
        <w:t>המינהלי</w:t>
      </w:r>
      <w:proofErr w:type="spellEnd"/>
      <w:r w:rsidRPr="00435653">
        <w:rPr>
          <w:rFonts w:ascii="Century" w:hAnsi="Century" w:hint="cs"/>
          <w:sz w:val="22"/>
          <w:rtl/>
        </w:rPr>
        <w:t xml:space="preserve"> ובדיני החברות גם יחד. </w:t>
      </w:r>
      <w:r w:rsidRPr="00435653">
        <w:rPr>
          <w:rFonts w:hint="cs"/>
          <w:rtl/>
        </w:rPr>
        <w:t xml:space="preserve">הווה אומר, שתי מערכות דינים אלה מכירות בכך שהענקת כוח לנציג היא בבחינת </w:t>
      </w:r>
      <w:r>
        <w:rPr>
          <w:rFonts w:ascii="Century" w:hAnsi="Century" w:cs="Miriam" w:hint="cs"/>
          <w:b/>
          <w:spacing w:val="0"/>
          <w:sz w:val="22"/>
          <w:szCs w:val="24"/>
          <w:rtl/>
        </w:rPr>
        <w:t>שטר ושוברו בצד</w:t>
      </w:r>
      <w:r w:rsidRPr="00435653">
        <w:rPr>
          <w:rFonts w:ascii="Century" w:hAnsi="Century" w:cs="Miriam" w:hint="cs"/>
          <w:b/>
          <w:spacing w:val="0"/>
          <w:sz w:val="22"/>
          <w:szCs w:val="24"/>
          <w:rtl/>
        </w:rPr>
        <w:t>ו</w:t>
      </w:r>
      <w:r w:rsidRPr="00435653">
        <w:rPr>
          <w:rFonts w:ascii="Century" w:hAnsi="Century" w:hint="cs"/>
          <w:sz w:val="22"/>
          <w:rtl/>
        </w:rPr>
        <w:t xml:space="preserve">. </w:t>
      </w:r>
    </w:p>
    <w:p w:rsidR="00433434" w:rsidRPr="00435653" w:rsidRDefault="00433434" w:rsidP="00433434">
      <w:pPr>
        <w:pStyle w:val="Ruller4"/>
        <w:spacing w:before="240" w:after="240"/>
      </w:pPr>
      <w:r w:rsidRPr="00435653">
        <w:rPr>
          <w:rFonts w:ascii="Century" w:hAnsi="Century" w:cs="Miriam" w:hint="cs"/>
          <w:b/>
          <w:spacing w:val="0"/>
          <w:sz w:val="22"/>
          <w:szCs w:val="24"/>
          <w:rtl/>
        </w:rPr>
        <w:t xml:space="preserve">המשפט </w:t>
      </w:r>
      <w:proofErr w:type="spellStart"/>
      <w:r w:rsidRPr="00435653">
        <w:rPr>
          <w:rFonts w:ascii="Century" w:hAnsi="Century" w:cs="Miriam" w:hint="cs"/>
          <w:b/>
          <w:spacing w:val="0"/>
          <w:sz w:val="22"/>
          <w:szCs w:val="24"/>
          <w:rtl/>
        </w:rPr>
        <w:t>המינהלי</w:t>
      </w:r>
      <w:proofErr w:type="spellEnd"/>
      <w:r w:rsidRPr="00435653">
        <w:rPr>
          <w:rFonts w:ascii="Century" w:hAnsi="Century" w:cs="Miriam" w:hint="cs"/>
          <w:b/>
          <w:spacing w:val="0"/>
          <w:sz w:val="22"/>
          <w:szCs w:val="24"/>
          <w:rtl/>
        </w:rPr>
        <w:t xml:space="preserve"> </w:t>
      </w:r>
      <w:r w:rsidRPr="00435653">
        <w:rPr>
          <w:rFonts w:ascii="Century" w:hAnsi="Century" w:hint="cs"/>
          <w:sz w:val="22"/>
          <w:rtl/>
        </w:rPr>
        <w:t xml:space="preserve">תחילה. בפסיקתנו נקבע, עוד מימים ימימה, כי: </w:t>
      </w:r>
    </w:p>
    <w:p w:rsidR="00433434" w:rsidRPr="00435653" w:rsidRDefault="00433434" w:rsidP="00433434">
      <w:pPr>
        <w:pStyle w:val="Ruller5"/>
        <w:rPr>
          <w:rFonts w:ascii="Garamond" w:hAnsi="Garamond"/>
          <w:sz w:val="24"/>
        </w:rPr>
      </w:pPr>
      <w:r w:rsidRPr="00435653">
        <w:rPr>
          <w:rFonts w:hint="cs"/>
          <w:rtl/>
        </w:rPr>
        <w:t xml:space="preserve">"לא הרי רשות היחיד כהרי רשות הציבור, שזו בתוך שלה היא עושה, ברצותה מעניקה וברצותה מסרבת, ואילו זו כל כולה לא נוצרה כי אם לשרת את הכלל, ומשלה אין לה ולא כלום: כל אשר יש לה מופקד בידיה כנאמן" (בג"ץ 142/70 </w:t>
      </w:r>
      <w:r w:rsidRPr="00435653">
        <w:rPr>
          <w:rFonts w:ascii="Century" w:hAnsi="Century" w:cs="Miriam" w:hint="cs"/>
          <w:b/>
          <w:spacing w:val="0"/>
          <w:szCs w:val="24"/>
          <w:rtl/>
        </w:rPr>
        <w:t xml:space="preserve">שפירא </w:t>
      </w:r>
      <w:r w:rsidRPr="00435653">
        <w:rPr>
          <w:rFonts w:ascii="Century" w:hAnsi="Century" w:cs="Miriam" w:hint="eastAsia"/>
          <w:b/>
          <w:spacing w:val="0"/>
          <w:szCs w:val="24"/>
          <w:rtl/>
        </w:rPr>
        <w:t>נ</w:t>
      </w:r>
      <w:r w:rsidRPr="00435653">
        <w:rPr>
          <w:rFonts w:ascii="Century" w:hAnsi="Century" w:cs="Miriam"/>
          <w:b/>
          <w:spacing w:val="0"/>
          <w:szCs w:val="24"/>
          <w:rtl/>
        </w:rPr>
        <w:t xml:space="preserve">' </w:t>
      </w:r>
      <w:r w:rsidRPr="00435653">
        <w:rPr>
          <w:rFonts w:ascii="Century" w:hAnsi="Century" w:cs="Miriam" w:hint="eastAsia"/>
          <w:b/>
          <w:spacing w:val="0"/>
          <w:szCs w:val="24"/>
          <w:rtl/>
        </w:rPr>
        <w:t>הוועד</w:t>
      </w:r>
      <w:r w:rsidRPr="00435653">
        <w:rPr>
          <w:rFonts w:ascii="Century" w:hAnsi="Century" w:cs="Miriam"/>
          <w:b/>
          <w:spacing w:val="0"/>
          <w:szCs w:val="24"/>
          <w:rtl/>
        </w:rPr>
        <w:t xml:space="preserve"> </w:t>
      </w:r>
      <w:r w:rsidRPr="00435653">
        <w:rPr>
          <w:rFonts w:ascii="Century" w:hAnsi="Century" w:cs="Miriam" w:hint="eastAsia"/>
          <w:b/>
          <w:spacing w:val="0"/>
          <w:szCs w:val="24"/>
          <w:rtl/>
        </w:rPr>
        <w:t>המחוזי</w:t>
      </w:r>
      <w:r w:rsidRPr="00435653">
        <w:rPr>
          <w:rFonts w:ascii="Century" w:hAnsi="Century" w:cs="Miriam"/>
          <w:b/>
          <w:spacing w:val="0"/>
          <w:szCs w:val="24"/>
          <w:rtl/>
        </w:rPr>
        <w:t xml:space="preserve"> </w:t>
      </w:r>
      <w:r w:rsidRPr="00435653">
        <w:rPr>
          <w:rFonts w:ascii="Century" w:hAnsi="Century" w:cs="Miriam" w:hint="eastAsia"/>
          <w:b/>
          <w:spacing w:val="0"/>
          <w:szCs w:val="24"/>
          <w:rtl/>
        </w:rPr>
        <w:t>של</w:t>
      </w:r>
      <w:r w:rsidRPr="00435653">
        <w:rPr>
          <w:rFonts w:ascii="Century" w:hAnsi="Century" w:cs="Miriam"/>
          <w:b/>
          <w:spacing w:val="0"/>
          <w:szCs w:val="24"/>
          <w:rtl/>
        </w:rPr>
        <w:t xml:space="preserve"> </w:t>
      </w:r>
      <w:r w:rsidRPr="00435653">
        <w:rPr>
          <w:rFonts w:ascii="Century" w:hAnsi="Century" w:cs="Miriam" w:hint="eastAsia"/>
          <w:b/>
          <w:spacing w:val="0"/>
          <w:szCs w:val="24"/>
          <w:rtl/>
        </w:rPr>
        <w:t>לשכת</w:t>
      </w:r>
      <w:r w:rsidRPr="00435653">
        <w:rPr>
          <w:rFonts w:ascii="Century" w:hAnsi="Century" w:cs="Miriam"/>
          <w:b/>
          <w:spacing w:val="0"/>
          <w:szCs w:val="24"/>
          <w:rtl/>
        </w:rPr>
        <w:t xml:space="preserve"> </w:t>
      </w:r>
      <w:r w:rsidRPr="00435653">
        <w:rPr>
          <w:rFonts w:ascii="Century" w:hAnsi="Century" w:cs="Miriam" w:hint="eastAsia"/>
          <w:b/>
          <w:spacing w:val="0"/>
          <w:szCs w:val="24"/>
          <w:rtl/>
        </w:rPr>
        <w:t>עורכי</w:t>
      </w:r>
      <w:r w:rsidRPr="00435653">
        <w:rPr>
          <w:rFonts w:ascii="Century" w:hAnsi="Century" w:cs="Miriam"/>
          <w:b/>
          <w:spacing w:val="0"/>
          <w:szCs w:val="24"/>
          <w:rtl/>
        </w:rPr>
        <w:t>-</w:t>
      </w:r>
      <w:r w:rsidRPr="00435653">
        <w:rPr>
          <w:rFonts w:ascii="Century" w:hAnsi="Century" w:cs="Miriam" w:hint="eastAsia"/>
          <w:b/>
          <w:spacing w:val="0"/>
          <w:szCs w:val="24"/>
          <w:rtl/>
        </w:rPr>
        <w:t>הדין</w:t>
      </w:r>
      <w:r w:rsidRPr="00435653">
        <w:rPr>
          <w:rFonts w:ascii="Century" w:hAnsi="Century" w:cs="Miriam"/>
          <w:b/>
          <w:spacing w:val="0"/>
          <w:szCs w:val="24"/>
          <w:rtl/>
        </w:rPr>
        <w:t xml:space="preserve">, </w:t>
      </w:r>
      <w:r w:rsidRPr="00435653">
        <w:rPr>
          <w:rFonts w:ascii="Century" w:hAnsi="Century" w:cs="Miriam" w:hint="eastAsia"/>
          <w:b/>
          <w:spacing w:val="0"/>
          <w:szCs w:val="24"/>
          <w:rtl/>
        </w:rPr>
        <w:t>ירושלים</w:t>
      </w:r>
      <w:r w:rsidRPr="00435653">
        <w:rPr>
          <w:rFonts w:hint="cs"/>
          <w:rtl/>
        </w:rPr>
        <w:t xml:space="preserve">, פ"ד כה(1) 325, 331 (1971)). </w:t>
      </w:r>
    </w:p>
    <w:p w:rsidR="008A79B6" w:rsidRDefault="008A79B6" w:rsidP="008A79B6">
      <w:pPr>
        <w:pStyle w:val="Ruller41"/>
        <w:rPr>
          <w:rtl/>
        </w:rPr>
      </w:pPr>
    </w:p>
    <w:p w:rsidR="00433434" w:rsidRPr="00435653" w:rsidRDefault="008A79B6" w:rsidP="008A79B6">
      <w:pPr>
        <w:pStyle w:val="Ruller41"/>
        <w:rPr>
          <w:rtl/>
        </w:rPr>
      </w:pPr>
      <w:r>
        <w:rPr>
          <w:rtl/>
        </w:rPr>
        <w:tab/>
      </w:r>
      <w:r w:rsidR="00433434" w:rsidRPr="00435653">
        <w:rPr>
          <w:rFonts w:hint="cs"/>
          <w:rtl/>
        </w:rPr>
        <w:t xml:space="preserve">קביעה זו מבטאת את העיקרון הבסיסי לפיו רשות ציבורית, כל רשות ציבורית </w:t>
      </w:r>
      <w:r w:rsidR="00433434" w:rsidRPr="00435653">
        <w:rPr>
          <w:rtl/>
        </w:rPr>
        <w:t>–</w:t>
      </w:r>
      <w:r w:rsidR="00433434" w:rsidRPr="00435653">
        <w:rPr>
          <w:rFonts w:hint="cs"/>
          <w:rtl/>
        </w:rPr>
        <w:t xml:space="preserve"> לרבות ממשלת ישראל ושריה, היא </w:t>
      </w:r>
      <w:r w:rsidR="00433434" w:rsidRPr="00435653">
        <w:rPr>
          <w:rFonts w:cs="Miriam" w:hint="cs"/>
          <w:b/>
          <w:spacing w:val="0"/>
          <w:szCs w:val="24"/>
          <w:rtl/>
        </w:rPr>
        <w:t>נאמן ציבור</w:t>
      </w:r>
      <w:r w:rsidR="00433434" w:rsidRPr="00435653">
        <w:rPr>
          <w:rFonts w:hint="cs"/>
          <w:rtl/>
        </w:rPr>
        <w:t xml:space="preserve">. משכך, עליה להפעיל את הסמכויות שניתנו בידה או להשתמש בנכסי הציבור עליהם היא מופקדת, אך ורק לטובת </w:t>
      </w:r>
      <w:r w:rsidR="00433434" w:rsidRPr="00435653">
        <w:rPr>
          <w:rFonts w:cs="Miriam" w:hint="cs"/>
          <w:b/>
          <w:spacing w:val="0"/>
          <w:szCs w:val="24"/>
          <w:rtl/>
        </w:rPr>
        <w:t>הנהנה</w:t>
      </w:r>
      <w:r w:rsidR="00433434" w:rsidRPr="00435653">
        <w:rPr>
          <w:rFonts w:hint="cs"/>
          <w:rtl/>
        </w:rPr>
        <w:t xml:space="preserve">, דהיינו </w:t>
      </w:r>
      <w:r w:rsidR="00433434" w:rsidRPr="00435653">
        <w:rPr>
          <w:rtl/>
        </w:rPr>
        <w:t>–</w:t>
      </w:r>
      <w:r w:rsidR="00433434" w:rsidRPr="00435653">
        <w:rPr>
          <w:rFonts w:hint="cs"/>
          <w:rtl/>
        </w:rPr>
        <w:t xml:space="preserve"> הציבור (</w:t>
      </w:r>
      <w:r w:rsidR="00433434" w:rsidRPr="00435653">
        <w:rPr>
          <w:rFonts w:cs="Miriam" w:hint="eastAsia"/>
          <w:b/>
          <w:spacing w:val="0"/>
          <w:szCs w:val="24"/>
          <w:rtl/>
        </w:rPr>
        <w:t>זמיר</w:t>
      </w:r>
      <w:r w:rsidR="00433434" w:rsidRPr="00435653">
        <w:rPr>
          <w:rFonts w:hint="cs"/>
          <w:rtl/>
        </w:rPr>
        <w:t xml:space="preserve">, בעמודים </w:t>
      </w:r>
      <w:r w:rsidR="00433434" w:rsidRPr="00435653">
        <w:rPr>
          <w:rtl/>
        </w:rPr>
        <w:t>36</w:t>
      </w:r>
      <w:r w:rsidR="00433434" w:rsidRPr="00435653">
        <w:rPr>
          <w:rFonts w:hint="cs"/>
          <w:rtl/>
        </w:rPr>
        <w:t>-35). נאמנות זו היא, הלכה למעשה, "</w:t>
      </w:r>
      <w:r w:rsidR="00433434" w:rsidRPr="00435653">
        <w:rPr>
          <w:rFonts w:cs="Miriam" w:hint="cs"/>
          <w:b/>
          <w:spacing w:val="0"/>
          <w:szCs w:val="24"/>
          <w:rtl/>
        </w:rPr>
        <w:t xml:space="preserve">כל תורת </w:t>
      </w:r>
      <w:proofErr w:type="spellStart"/>
      <w:r w:rsidR="00433434" w:rsidRPr="00435653">
        <w:rPr>
          <w:rFonts w:cs="Miriam" w:hint="cs"/>
          <w:b/>
          <w:spacing w:val="0"/>
          <w:szCs w:val="24"/>
          <w:rtl/>
        </w:rPr>
        <w:t>המינהל</w:t>
      </w:r>
      <w:proofErr w:type="spellEnd"/>
      <w:r w:rsidR="00433434" w:rsidRPr="00435653">
        <w:rPr>
          <w:rFonts w:cs="Miriam" w:hint="cs"/>
          <w:b/>
          <w:spacing w:val="0"/>
          <w:szCs w:val="24"/>
          <w:rtl/>
        </w:rPr>
        <w:t xml:space="preserve"> הציבורי על רגל אחת</w:t>
      </w:r>
      <w:r w:rsidR="00433434" w:rsidRPr="00435653">
        <w:rPr>
          <w:rFonts w:hint="cs"/>
          <w:rtl/>
        </w:rPr>
        <w:t xml:space="preserve">" (שם, בעמוד 37), והיא גם ההצדקה והמקור להטלת החובות המשפטיות שבמשפט </w:t>
      </w:r>
      <w:proofErr w:type="spellStart"/>
      <w:r w:rsidR="00433434" w:rsidRPr="00435653">
        <w:rPr>
          <w:rFonts w:hint="cs"/>
          <w:rtl/>
        </w:rPr>
        <w:t>המינהלי</w:t>
      </w:r>
      <w:proofErr w:type="spellEnd"/>
      <w:r w:rsidR="00433434" w:rsidRPr="00435653">
        <w:rPr>
          <w:rFonts w:hint="cs"/>
          <w:rtl/>
        </w:rPr>
        <w:t xml:space="preserve"> (בג"ץ 4267/93 </w:t>
      </w:r>
      <w:proofErr w:type="spellStart"/>
      <w:r w:rsidR="00433434" w:rsidRPr="00435653">
        <w:rPr>
          <w:rFonts w:cs="Miriam" w:hint="cs"/>
          <w:b/>
          <w:spacing w:val="0"/>
          <w:szCs w:val="24"/>
          <w:rtl/>
        </w:rPr>
        <w:t>אמיתי</w:t>
      </w:r>
      <w:proofErr w:type="spellEnd"/>
      <w:r w:rsidR="00433434" w:rsidRPr="00435653">
        <w:rPr>
          <w:rFonts w:cs="Miriam" w:hint="cs"/>
          <w:b/>
          <w:spacing w:val="0"/>
          <w:szCs w:val="24"/>
          <w:rtl/>
        </w:rPr>
        <w:t xml:space="preserve"> </w:t>
      </w:r>
      <w:r w:rsidR="00433434" w:rsidRPr="00435653">
        <w:rPr>
          <w:rFonts w:cs="Miriam"/>
          <w:b/>
          <w:spacing w:val="0"/>
          <w:szCs w:val="24"/>
          <w:rtl/>
        </w:rPr>
        <w:t>–</w:t>
      </w:r>
      <w:r w:rsidR="00433434" w:rsidRPr="00435653">
        <w:rPr>
          <w:rFonts w:cs="Miriam" w:hint="cs"/>
          <w:b/>
          <w:spacing w:val="0"/>
          <w:szCs w:val="24"/>
          <w:rtl/>
        </w:rPr>
        <w:t xml:space="preserve"> אזרחים למען </w:t>
      </w:r>
      <w:proofErr w:type="spellStart"/>
      <w:r w:rsidR="00433434" w:rsidRPr="00435653">
        <w:rPr>
          <w:rFonts w:cs="Miriam" w:hint="cs"/>
          <w:b/>
          <w:spacing w:val="0"/>
          <w:szCs w:val="24"/>
          <w:rtl/>
        </w:rPr>
        <w:t>מינהל</w:t>
      </w:r>
      <w:proofErr w:type="spellEnd"/>
      <w:r w:rsidR="00433434" w:rsidRPr="00435653">
        <w:rPr>
          <w:rFonts w:cs="Miriam" w:hint="cs"/>
          <w:b/>
          <w:spacing w:val="0"/>
          <w:szCs w:val="24"/>
          <w:rtl/>
        </w:rPr>
        <w:t xml:space="preserve"> תקים וטוהר המידות נ' ראש ממשלת ישראל</w:t>
      </w:r>
      <w:r w:rsidR="00433434" w:rsidRPr="00435653">
        <w:rPr>
          <w:rFonts w:hint="cs"/>
          <w:rtl/>
        </w:rPr>
        <w:t xml:space="preserve">, פ"ד </w:t>
      </w:r>
      <w:proofErr w:type="spellStart"/>
      <w:r w:rsidR="00433434" w:rsidRPr="00435653">
        <w:rPr>
          <w:rFonts w:hint="cs"/>
          <w:rtl/>
        </w:rPr>
        <w:t>מז</w:t>
      </w:r>
      <w:proofErr w:type="spellEnd"/>
      <w:r w:rsidR="00433434" w:rsidRPr="00435653">
        <w:rPr>
          <w:rFonts w:hint="cs"/>
          <w:rtl/>
        </w:rPr>
        <w:t xml:space="preserve">(5) 441, 461 (1993); </w:t>
      </w:r>
      <w:r w:rsidR="00433434" w:rsidRPr="00435653">
        <w:rPr>
          <w:rFonts w:cs="Miriam" w:hint="cs"/>
          <w:b/>
          <w:spacing w:val="0"/>
          <w:szCs w:val="24"/>
          <w:rtl/>
        </w:rPr>
        <w:t>זמיר</w:t>
      </w:r>
      <w:r w:rsidR="00433434" w:rsidRPr="00435653">
        <w:rPr>
          <w:rFonts w:hint="cs"/>
          <w:rtl/>
        </w:rPr>
        <w:t xml:space="preserve">, בעמוד 37; ראו והשוו, טענה לפיה חובות המשפט </w:t>
      </w:r>
      <w:proofErr w:type="spellStart"/>
      <w:r w:rsidR="00433434" w:rsidRPr="00435653">
        <w:rPr>
          <w:rFonts w:hint="cs"/>
          <w:rtl/>
        </w:rPr>
        <w:t>המינהלי</w:t>
      </w:r>
      <w:proofErr w:type="spellEnd"/>
      <w:r w:rsidR="00433434" w:rsidRPr="00435653">
        <w:rPr>
          <w:rFonts w:hint="cs"/>
          <w:rtl/>
        </w:rPr>
        <w:t xml:space="preserve"> והביקורת השיפוטית ביחס להפרתן </w:t>
      </w:r>
      <w:r w:rsidR="00433434" w:rsidRPr="00435653">
        <w:rPr>
          <w:rFonts w:hint="cs"/>
          <w:rtl/>
        </w:rPr>
        <w:lastRenderedPageBreak/>
        <w:t xml:space="preserve">נועדו להתמודד עם השפעתן של 'קבוצות אינטרס' על ההליך </w:t>
      </w:r>
      <w:proofErr w:type="spellStart"/>
      <w:r w:rsidR="00433434" w:rsidRPr="00435653">
        <w:rPr>
          <w:rFonts w:hint="cs"/>
          <w:rtl/>
        </w:rPr>
        <w:t>המינהלי</w:t>
      </w:r>
      <w:proofErr w:type="spellEnd"/>
      <w:r w:rsidR="00433434" w:rsidRPr="00435653">
        <w:rPr>
          <w:rFonts w:hint="cs"/>
          <w:rtl/>
        </w:rPr>
        <w:t xml:space="preserve">: דפנה ברק-ארז </w:t>
      </w:r>
      <w:r w:rsidR="00433434" w:rsidRPr="00435653">
        <w:rPr>
          <w:rFonts w:cs="Miriam" w:hint="cs"/>
          <w:b/>
          <w:spacing w:val="0"/>
          <w:szCs w:val="24"/>
          <w:rtl/>
        </w:rPr>
        <w:t xml:space="preserve">משפט </w:t>
      </w:r>
      <w:proofErr w:type="spellStart"/>
      <w:r w:rsidR="00433434" w:rsidRPr="00435653">
        <w:rPr>
          <w:rFonts w:cs="Miriam" w:hint="cs"/>
          <w:b/>
          <w:spacing w:val="0"/>
          <w:szCs w:val="24"/>
          <w:rtl/>
        </w:rPr>
        <w:t>מינהלי</w:t>
      </w:r>
      <w:proofErr w:type="spellEnd"/>
      <w:r w:rsidR="00433434" w:rsidRPr="00435653">
        <w:rPr>
          <w:rFonts w:cs="Miriam" w:hint="cs"/>
          <w:b/>
          <w:spacing w:val="0"/>
          <w:szCs w:val="24"/>
          <w:rtl/>
        </w:rPr>
        <w:t xml:space="preserve"> </w:t>
      </w:r>
      <w:r w:rsidR="00433434" w:rsidRPr="00435653">
        <w:rPr>
          <w:rFonts w:hint="cs"/>
          <w:rtl/>
        </w:rPr>
        <w:t xml:space="preserve">33-32 (כרך א 2010) </w:t>
      </w:r>
      <w:r w:rsidR="00433434" w:rsidRPr="00435653">
        <w:rPr>
          <w:rtl/>
        </w:rPr>
        <w:t>(</w:t>
      </w:r>
      <w:r w:rsidR="00433434" w:rsidRPr="00435653">
        <w:rPr>
          <w:rFonts w:hint="eastAsia"/>
          <w:rtl/>
        </w:rPr>
        <w:t>להלן</w:t>
      </w:r>
      <w:r w:rsidR="00433434" w:rsidRPr="00435653">
        <w:rPr>
          <w:rtl/>
        </w:rPr>
        <w:t xml:space="preserve">: </w:t>
      </w:r>
      <w:r w:rsidR="00433434" w:rsidRPr="00435653">
        <w:rPr>
          <w:rFonts w:cs="Miriam" w:hint="cs"/>
          <w:b/>
          <w:spacing w:val="0"/>
          <w:szCs w:val="24"/>
          <w:rtl/>
        </w:rPr>
        <w:t>ברק-ארז</w:t>
      </w:r>
      <w:r w:rsidR="00433434" w:rsidRPr="00435653">
        <w:rPr>
          <w:rFonts w:hint="cs"/>
          <w:rtl/>
        </w:rPr>
        <w:t xml:space="preserve">)). </w:t>
      </w:r>
    </w:p>
    <w:p w:rsidR="00433434" w:rsidRPr="00435653" w:rsidRDefault="00433434" w:rsidP="00433434">
      <w:pPr>
        <w:pStyle w:val="Ruller4"/>
        <w:spacing w:before="240" w:after="240"/>
        <w:rPr>
          <w:rFonts w:ascii="Century" w:hAnsi="Century"/>
          <w:sz w:val="22"/>
          <w:rtl/>
        </w:rPr>
      </w:pPr>
      <w:r w:rsidRPr="00435653">
        <w:rPr>
          <w:rFonts w:ascii="Century" w:hAnsi="Century" w:hint="cs"/>
          <w:sz w:val="22"/>
          <w:rtl/>
        </w:rPr>
        <w:t xml:space="preserve">היטיב לתאר רעיון זה, רק לאחרונה, השופט </w:t>
      </w:r>
      <w:r w:rsidRPr="00435653">
        <w:rPr>
          <w:rFonts w:ascii="Century" w:hAnsi="Century" w:cs="Miriam" w:hint="cs"/>
          <w:b/>
          <w:spacing w:val="0"/>
          <w:sz w:val="22"/>
          <w:szCs w:val="24"/>
          <w:rtl/>
        </w:rPr>
        <w:t xml:space="preserve">ע' </w:t>
      </w:r>
      <w:proofErr w:type="spellStart"/>
      <w:r w:rsidRPr="00435653">
        <w:rPr>
          <w:rFonts w:ascii="Century" w:hAnsi="Century" w:cs="Miriam" w:hint="cs"/>
          <w:b/>
          <w:spacing w:val="0"/>
          <w:sz w:val="22"/>
          <w:szCs w:val="24"/>
          <w:rtl/>
        </w:rPr>
        <w:t>גרוסקופף</w:t>
      </w:r>
      <w:proofErr w:type="spellEnd"/>
      <w:r w:rsidRPr="00435653">
        <w:rPr>
          <w:rFonts w:ascii="Century" w:hAnsi="Century" w:hint="cs"/>
          <w:sz w:val="22"/>
          <w:rtl/>
        </w:rPr>
        <w:t>, עת שציין כי "</w:t>
      </w:r>
      <w:r w:rsidRPr="00435653">
        <w:rPr>
          <w:rFonts w:ascii="Century" w:hAnsi="Century" w:cs="Miriam" w:hint="cs"/>
          <w:b/>
          <w:spacing w:val="0"/>
          <w:sz w:val="22"/>
          <w:szCs w:val="24"/>
          <w:rtl/>
        </w:rPr>
        <w:t>גם אם נניח כי "אדם הוא כל יכול ביחס לרכושו" (וכידוע, אין זהו המצב בשיטתנו), בוודאי שלא ניתן לומר כי שלוחו של אותו אדם הוא "כל יכול ביחס לרכוש מושא השליחות"</w:t>
      </w:r>
      <w:r w:rsidRPr="00435653">
        <w:rPr>
          <w:rFonts w:ascii="Century" w:hAnsi="Century" w:hint="cs"/>
          <w:sz w:val="22"/>
          <w:rtl/>
        </w:rPr>
        <w:t xml:space="preserve">" (בג"ץ 5658/23 </w:t>
      </w:r>
      <w:r w:rsidRPr="00435653">
        <w:rPr>
          <w:rFonts w:ascii="Century" w:hAnsi="Century" w:cs="Miriam" w:hint="cs"/>
          <w:b/>
          <w:spacing w:val="0"/>
          <w:sz w:val="22"/>
          <w:szCs w:val="24"/>
          <w:rtl/>
        </w:rPr>
        <w:t>התנועה למען איכות השלטון בישראל נ' הכנסת</w:t>
      </w:r>
      <w:r w:rsidRPr="00435653">
        <w:rPr>
          <w:rFonts w:ascii="Century" w:hAnsi="Century" w:hint="cs"/>
          <w:sz w:val="22"/>
          <w:rtl/>
        </w:rPr>
        <w:t xml:space="preserve">, פסקה 18 לחוות דעתו של השופט </w:t>
      </w:r>
      <w:proofErr w:type="spellStart"/>
      <w:r w:rsidRPr="00435653">
        <w:rPr>
          <w:rFonts w:ascii="Century" w:hAnsi="Century" w:cs="Miriam" w:hint="cs"/>
          <w:b/>
          <w:spacing w:val="0"/>
          <w:sz w:val="22"/>
          <w:szCs w:val="24"/>
          <w:rtl/>
        </w:rPr>
        <w:t>גרוסקופף</w:t>
      </w:r>
      <w:proofErr w:type="spellEnd"/>
      <w:r w:rsidRPr="00435653">
        <w:rPr>
          <w:rFonts w:ascii="Century" w:hAnsi="Century" w:cs="Miriam" w:hint="cs"/>
          <w:b/>
          <w:spacing w:val="0"/>
          <w:sz w:val="22"/>
          <w:szCs w:val="24"/>
          <w:rtl/>
        </w:rPr>
        <w:t xml:space="preserve"> </w:t>
      </w:r>
      <w:r w:rsidRPr="00435653">
        <w:rPr>
          <w:rFonts w:ascii="Century" w:hAnsi="Century" w:hint="cs"/>
          <w:sz w:val="22"/>
          <w:rtl/>
        </w:rPr>
        <w:t xml:space="preserve">(01.01.2024) </w:t>
      </w:r>
      <w:r w:rsidRPr="00435653">
        <w:rPr>
          <w:rFonts w:ascii="Century" w:hAnsi="Century"/>
          <w:sz w:val="22"/>
          <w:rtl/>
        </w:rPr>
        <w:t>(</w:t>
      </w:r>
      <w:r w:rsidRPr="00435653">
        <w:rPr>
          <w:rFonts w:ascii="Century" w:hAnsi="Century" w:hint="eastAsia"/>
          <w:sz w:val="22"/>
          <w:rtl/>
        </w:rPr>
        <w:t>להלן</w:t>
      </w:r>
      <w:r w:rsidRPr="00435653">
        <w:rPr>
          <w:rFonts w:ascii="Century" w:hAnsi="Century"/>
          <w:sz w:val="22"/>
          <w:rtl/>
        </w:rPr>
        <w:t xml:space="preserve">: </w:t>
      </w:r>
      <w:r w:rsidRPr="00435653">
        <w:rPr>
          <w:rFonts w:ascii="Century" w:hAnsi="Century" w:cs="Miriam" w:hint="cs"/>
          <w:b/>
          <w:spacing w:val="0"/>
          <w:sz w:val="22"/>
          <w:szCs w:val="24"/>
          <w:rtl/>
        </w:rPr>
        <w:t>עניין עילת הסבירות</w:t>
      </w:r>
      <w:r w:rsidRPr="00435653">
        <w:rPr>
          <w:rFonts w:ascii="Century" w:hAnsi="Century" w:hint="cs"/>
          <w:sz w:val="22"/>
          <w:rtl/>
        </w:rPr>
        <w:t xml:space="preserve">)). דבריו אלו נאמרו בהתייחס לנציגי העם בפרלמנט, אך כוחם יפה, מכוח קל וחומר, בהתייחס לחובת הנאמנות המוטלת על הרשות המבצעת, לרבות גורמים נבחרים בה (להרחבה ראו: עניין </w:t>
      </w:r>
      <w:r w:rsidRPr="00435653">
        <w:rPr>
          <w:rFonts w:ascii="Century" w:hAnsi="Century" w:cs="Miriam" w:hint="cs"/>
          <w:b/>
          <w:spacing w:val="0"/>
          <w:sz w:val="22"/>
          <w:szCs w:val="24"/>
          <w:rtl/>
        </w:rPr>
        <w:t>עילת הסבירות</w:t>
      </w:r>
      <w:r w:rsidRPr="00435653">
        <w:rPr>
          <w:rFonts w:ascii="Century" w:hAnsi="Century" w:hint="cs"/>
          <w:sz w:val="22"/>
          <w:rtl/>
        </w:rPr>
        <w:t xml:space="preserve">, בפסקאות 97-91 לחוות דעתי). </w:t>
      </w:r>
    </w:p>
    <w:p w:rsidR="00433434" w:rsidRPr="00435653" w:rsidRDefault="00433434" w:rsidP="00433434">
      <w:pPr>
        <w:pStyle w:val="Ruller4"/>
        <w:spacing w:before="240" w:after="240"/>
        <w:rPr>
          <w:sz w:val="22"/>
          <w:rtl/>
        </w:rPr>
      </w:pPr>
      <w:r w:rsidRPr="00435653">
        <w:rPr>
          <w:rFonts w:ascii="Century" w:hAnsi="Century" w:hint="cs"/>
          <w:sz w:val="22"/>
          <w:rtl/>
        </w:rPr>
        <w:t xml:space="preserve">בבעיה הכוללת מאפיינים דומים אנו נתקלים גם כשעסקנן </w:t>
      </w:r>
      <w:r w:rsidRPr="00435653">
        <w:rPr>
          <w:rFonts w:ascii="Century" w:hAnsi="Century" w:cs="Miriam" w:hint="cs"/>
          <w:b/>
          <w:spacing w:val="0"/>
          <w:sz w:val="22"/>
          <w:szCs w:val="24"/>
          <w:rtl/>
        </w:rPr>
        <w:t>בדיני החברות</w:t>
      </w:r>
      <w:r w:rsidRPr="00435653">
        <w:rPr>
          <w:rFonts w:ascii="Century" w:hAnsi="Century" w:hint="cs"/>
          <w:sz w:val="22"/>
          <w:rtl/>
        </w:rPr>
        <w:t xml:space="preserve">. שהלוא, ההפרדה המובנית בין הבעלות על התאגיד לבין השליטה בו, הופכת את "בעיית הנציג" לאתגר העיקרי עמו מבקשים להתמודד דיני התאגידים בכלל, ודיני החברות בפרט </w:t>
      </w:r>
      <w:r w:rsidRPr="00435653">
        <w:rPr>
          <w:rFonts w:hint="cs"/>
          <w:rtl/>
        </w:rPr>
        <w:t>(זוהר גושן "</w:t>
      </w:r>
      <w:r w:rsidRPr="00435653">
        <w:rPr>
          <w:rFonts w:ascii="Century" w:hAnsi="Century" w:hint="cs"/>
          <w:sz w:val="22"/>
          <w:rtl/>
        </w:rPr>
        <w:t xml:space="preserve">"בעיית-הנציג" כתיאוריה מאחדת לדיני התאגידים" </w:t>
      </w:r>
      <w:r w:rsidRPr="00435653">
        <w:rPr>
          <w:rFonts w:ascii="Century" w:hAnsi="Century" w:cs="Miriam" w:hint="cs"/>
          <w:b/>
          <w:spacing w:val="0"/>
          <w:sz w:val="22"/>
          <w:szCs w:val="24"/>
          <w:rtl/>
        </w:rPr>
        <w:t xml:space="preserve">ספר זיכרון </w:t>
      </w:r>
      <w:proofErr w:type="spellStart"/>
      <w:r w:rsidRPr="00435653">
        <w:rPr>
          <w:rFonts w:ascii="Century" w:hAnsi="Century" w:cs="Miriam" w:hint="cs"/>
          <w:b/>
          <w:spacing w:val="0"/>
          <w:sz w:val="22"/>
          <w:szCs w:val="24"/>
          <w:rtl/>
        </w:rPr>
        <w:t>לגואלטיארו</w:t>
      </w:r>
      <w:proofErr w:type="spellEnd"/>
      <w:r w:rsidRPr="00435653">
        <w:rPr>
          <w:rFonts w:ascii="Century" w:hAnsi="Century" w:cs="Miriam" w:hint="cs"/>
          <w:b/>
          <w:spacing w:val="0"/>
          <w:sz w:val="22"/>
          <w:szCs w:val="24"/>
          <w:rtl/>
        </w:rPr>
        <w:t xml:space="preserve"> </w:t>
      </w:r>
      <w:proofErr w:type="spellStart"/>
      <w:r w:rsidRPr="00435653">
        <w:rPr>
          <w:rFonts w:ascii="Century" w:hAnsi="Century" w:cs="Miriam" w:hint="cs"/>
          <w:b/>
          <w:spacing w:val="0"/>
          <w:sz w:val="22"/>
          <w:szCs w:val="24"/>
          <w:rtl/>
        </w:rPr>
        <w:t>פרוקצ'יה</w:t>
      </w:r>
      <w:proofErr w:type="spellEnd"/>
      <w:r w:rsidRPr="00435653">
        <w:rPr>
          <w:rFonts w:ascii="Century" w:hAnsi="Century" w:cs="Miriam" w:hint="cs"/>
          <w:b/>
          <w:spacing w:val="0"/>
          <w:sz w:val="22"/>
          <w:szCs w:val="24"/>
          <w:rtl/>
        </w:rPr>
        <w:t xml:space="preserve"> </w:t>
      </w:r>
      <w:r w:rsidRPr="00435653">
        <w:rPr>
          <w:rFonts w:ascii="Century" w:hAnsi="Century" w:cs="Miriam"/>
          <w:b/>
          <w:spacing w:val="0"/>
          <w:sz w:val="22"/>
          <w:szCs w:val="24"/>
          <w:rtl/>
        </w:rPr>
        <w:t>–</w:t>
      </w:r>
      <w:r w:rsidRPr="00435653">
        <w:rPr>
          <w:rFonts w:ascii="Century" w:hAnsi="Century" w:cs="Miriam" w:hint="cs"/>
          <w:b/>
          <w:spacing w:val="0"/>
          <w:sz w:val="22"/>
          <w:szCs w:val="24"/>
          <w:rtl/>
        </w:rPr>
        <w:t xml:space="preserve"> חיבורי משפט</w:t>
      </w:r>
      <w:r w:rsidRPr="00435653">
        <w:rPr>
          <w:rFonts w:ascii="Century" w:hAnsi="Century" w:hint="cs"/>
          <w:sz w:val="22"/>
          <w:rtl/>
        </w:rPr>
        <w:t xml:space="preserve"> 239, 242-240 (1996) </w:t>
      </w:r>
      <w:r w:rsidRPr="00435653">
        <w:rPr>
          <w:rFonts w:ascii="Century" w:hAnsi="Century"/>
          <w:sz w:val="22"/>
          <w:rtl/>
        </w:rPr>
        <w:t>(</w:t>
      </w:r>
      <w:r w:rsidRPr="00435653">
        <w:rPr>
          <w:rFonts w:ascii="Century" w:hAnsi="Century" w:hint="eastAsia"/>
          <w:sz w:val="22"/>
          <w:rtl/>
        </w:rPr>
        <w:t>להלן</w:t>
      </w:r>
      <w:r w:rsidRPr="00435653">
        <w:rPr>
          <w:rFonts w:ascii="Century" w:hAnsi="Century"/>
          <w:sz w:val="22"/>
          <w:rtl/>
        </w:rPr>
        <w:t xml:space="preserve">: </w:t>
      </w:r>
      <w:r w:rsidRPr="00435653">
        <w:rPr>
          <w:rFonts w:ascii="Century" w:hAnsi="Century" w:cs="Miriam" w:hint="cs"/>
          <w:b/>
          <w:spacing w:val="0"/>
          <w:sz w:val="22"/>
          <w:szCs w:val="24"/>
          <w:rtl/>
        </w:rPr>
        <w:t>גושן</w:t>
      </w:r>
      <w:r w:rsidRPr="00435653">
        <w:rPr>
          <w:rFonts w:ascii="Century" w:hAnsi="Century" w:hint="cs"/>
          <w:sz w:val="22"/>
          <w:rtl/>
        </w:rPr>
        <w:t>);</w:t>
      </w:r>
      <w:r w:rsidRPr="00435653">
        <w:rPr>
          <w:rFonts w:ascii="Century" w:hAnsi="Century" w:hint="cs"/>
          <w:color w:val="FF0000"/>
          <w:sz w:val="22"/>
          <w:rtl/>
        </w:rPr>
        <w:t xml:space="preserve"> </w:t>
      </w:r>
      <w:r w:rsidRPr="00435653">
        <w:rPr>
          <w:rFonts w:ascii="Century" w:hAnsi="Century" w:hint="cs"/>
          <w:sz w:val="22"/>
          <w:rtl/>
        </w:rPr>
        <w:t xml:space="preserve">ע"פ 3891/04 </w:t>
      </w:r>
      <w:r w:rsidRPr="00435653">
        <w:rPr>
          <w:rFonts w:ascii="Century" w:hAnsi="Century" w:cs="Miriam" w:hint="cs"/>
          <w:b/>
          <w:spacing w:val="0"/>
          <w:sz w:val="22"/>
          <w:szCs w:val="24"/>
          <w:rtl/>
        </w:rPr>
        <w:t>ערד השקעות ופיתוח תעשייה בע"מ נ' מדינת ישראל</w:t>
      </w:r>
      <w:r w:rsidRPr="00435653">
        <w:rPr>
          <w:rFonts w:ascii="Century" w:hAnsi="Century" w:hint="cs"/>
          <w:sz w:val="22"/>
          <w:rtl/>
        </w:rPr>
        <w:t xml:space="preserve">, פ"ד ס(1) 294, 333 (2005); </w:t>
      </w:r>
      <w:proofErr w:type="spellStart"/>
      <w:r w:rsidRPr="00435653">
        <w:rPr>
          <w:rFonts w:ascii="Century" w:hAnsi="Century"/>
          <w:sz w:val="22"/>
        </w:rPr>
        <w:t>Tornetta</w:t>
      </w:r>
      <w:proofErr w:type="spellEnd"/>
      <w:r w:rsidRPr="00435653">
        <w:rPr>
          <w:rFonts w:ascii="Century" w:hAnsi="Century"/>
          <w:sz w:val="22"/>
        </w:rPr>
        <w:t xml:space="preserve"> v. Musk, 2024 WL 343699 at 104 (Del. Ch., Jan. 30 2024)</w:t>
      </w:r>
      <w:r w:rsidRPr="00435653">
        <w:rPr>
          <w:rFonts w:hint="cs"/>
          <w:sz w:val="22"/>
          <w:rtl/>
        </w:rPr>
        <w:t xml:space="preserve"> </w:t>
      </w:r>
      <w:r w:rsidRPr="00435653">
        <w:rPr>
          <w:sz w:val="22"/>
          <w:rtl/>
        </w:rPr>
        <w:t>(</w:t>
      </w:r>
      <w:r w:rsidRPr="00435653">
        <w:rPr>
          <w:rFonts w:hint="eastAsia"/>
          <w:sz w:val="22"/>
          <w:rtl/>
        </w:rPr>
        <w:t>להלן</w:t>
      </w:r>
      <w:r w:rsidRPr="00435653">
        <w:rPr>
          <w:sz w:val="22"/>
          <w:rtl/>
        </w:rPr>
        <w:t xml:space="preserve">: </w:t>
      </w:r>
      <w:r w:rsidRPr="00435653">
        <w:rPr>
          <w:rFonts w:ascii="Century" w:hAnsi="Century" w:cs="Miriam" w:hint="cs"/>
          <w:b/>
          <w:spacing w:val="0"/>
          <w:sz w:val="22"/>
          <w:szCs w:val="24"/>
          <w:rtl/>
        </w:rPr>
        <w:t xml:space="preserve">עניין </w:t>
      </w:r>
      <w:r w:rsidRPr="00435653">
        <w:rPr>
          <w:rFonts w:ascii="Century" w:hAnsi="Century" w:cs="Miriam" w:hint="cs"/>
          <w:bCs/>
          <w:spacing w:val="0"/>
          <w:sz w:val="22"/>
          <w:szCs w:val="24"/>
        </w:rPr>
        <w:t>M</w:t>
      </w:r>
      <w:r w:rsidRPr="00435653">
        <w:rPr>
          <w:rFonts w:ascii="Century" w:hAnsi="Century" w:cs="Miriam"/>
          <w:bCs/>
          <w:spacing w:val="0"/>
          <w:sz w:val="22"/>
          <w:szCs w:val="24"/>
        </w:rPr>
        <w:t>usk</w:t>
      </w:r>
      <w:r w:rsidRPr="00435653">
        <w:rPr>
          <w:rFonts w:ascii="Century" w:hAnsi="Century" w:hint="cs"/>
          <w:sz w:val="22"/>
          <w:rtl/>
        </w:rPr>
        <w:t xml:space="preserve">)). כפי שטוען </w:t>
      </w:r>
      <w:r w:rsidRPr="00435653">
        <w:rPr>
          <w:rFonts w:ascii="Century" w:hAnsi="Century" w:cs="Miriam" w:hint="cs"/>
          <w:b/>
          <w:spacing w:val="0"/>
          <w:sz w:val="22"/>
          <w:szCs w:val="24"/>
          <w:rtl/>
        </w:rPr>
        <w:t>גושן</w:t>
      </w:r>
      <w:r w:rsidRPr="00435653">
        <w:rPr>
          <w:rFonts w:ascii="Century" w:hAnsi="Century" w:hint="cs"/>
          <w:sz w:val="22"/>
          <w:rtl/>
        </w:rPr>
        <w:t xml:space="preserve"> במאמרו הידוע, "בעיית הנציג" היא, הלכה למעשה, 'התיאוריה המאחדת' של דיני התאגידים, וכך "</w:t>
      </w:r>
      <w:r w:rsidRPr="00435653">
        <w:rPr>
          <w:rFonts w:ascii="Century" w:hAnsi="Century" w:cs="Miriam" w:hint="eastAsia"/>
          <w:b/>
          <w:spacing w:val="0"/>
          <w:sz w:val="22"/>
          <w:szCs w:val="24"/>
          <w:rtl/>
        </w:rPr>
        <w:t>יש</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בכוחה</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להסביר</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את</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תפקידם</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של</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מכלול</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דיני</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התאגידים</w:t>
      </w:r>
      <w:r w:rsidRPr="00435653">
        <w:rPr>
          <w:rFonts w:ascii="Century" w:hAnsi="Century" w:hint="cs"/>
          <w:sz w:val="22"/>
          <w:rtl/>
        </w:rPr>
        <w:t xml:space="preserve">" (שם, בעמוד 242). </w:t>
      </w:r>
    </w:p>
    <w:p w:rsidR="00433434" w:rsidRPr="00435653" w:rsidRDefault="00433434" w:rsidP="00433434">
      <w:pPr>
        <w:pStyle w:val="Ruller4"/>
        <w:spacing w:before="240" w:after="240"/>
        <w:rPr>
          <w:sz w:val="22"/>
        </w:rPr>
      </w:pPr>
      <w:r w:rsidRPr="00435653">
        <w:rPr>
          <w:rFonts w:ascii="Century" w:hAnsi="Century" w:hint="cs"/>
          <w:sz w:val="22"/>
          <w:rtl/>
        </w:rPr>
        <w:t xml:space="preserve">מתיאוריה למעשה, </w:t>
      </w:r>
      <w:r w:rsidRPr="00435653">
        <w:rPr>
          <w:rFonts w:ascii="Century" w:hAnsi="Century" w:cs="Miriam" w:hint="eastAsia"/>
          <w:b/>
          <w:spacing w:val="0"/>
          <w:sz w:val="22"/>
          <w:szCs w:val="24"/>
          <w:rtl/>
        </w:rPr>
        <w:t>גושן</w:t>
      </w:r>
      <w:r w:rsidRPr="00435653">
        <w:rPr>
          <w:rFonts w:ascii="Century" w:hAnsi="Century" w:cs="Miriam"/>
          <w:b/>
          <w:spacing w:val="0"/>
          <w:sz w:val="22"/>
          <w:szCs w:val="24"/>
          <w:rtl/>
        </w:rPr>
        <w:t xml:space="preserve"> </w:t>
      </w:r>
      <w:r w:rsidRPr="00435653">
        <w:rPr>
          <w:rFonts w:ascii="Century" w:hAnsi="Century" w:hint="eastAsia"/>
          <w:sz w:val="22"/>
          <w:rtl/>
        </w:rPr>
        <w:t>מציין</w:t>
      </w:r>
      <w:r w:rsidRPr="00435653">
        <w:rPr>
          <w:rFonts w:ascii="Century" w:hAnsi="Century"/>
          <w:sz w:val="22"/>
          <w:rtl/>
        </w:rPr>
        <w:t xml:space="preserve"> </w:t>
      </w:r>
      <w:r w:rsidRPr="00435653">
        <w:rPr>
          <w:rFonts w:ascii="Century" w:hAnsi="Century" w:hint="eastAsia"/>
          <w:sz w:val="22"/>
          <w:rtl/>
        </w:rPr>
        <w:t>כי</w:t>
      </w:r>
      <w:r w:rsidRPr="00435653">
        <w:rPr>
          <w:rFonts w:ascii="Century" w:hAnsi="Century"/>
          <w:sz w:val="22"/>
          <w:rtl/>
        </w:rPr>
        <w:t xml:space="preserve"> </w:t>
      </w:r>
      <w:r w:rsidRPr="00435653">
        <w:rPr>
          <w:rFonts w:ascii="Century" w:hAnsi="Century" w:hint="eastAsia"/>
          <w:sz w:val="22"/>
          <w:rtl/>
        </w:rPr>
        <w:t>דיני</w:t>
      </w:r>
      <w:r w:rsidRPr="00435653">
        <w:rPr>
          <w:rFonts w:ascii="Century" w:hAnsi="Century"/>
          <w:sz w:val="22"/>
          <w:rtl/>
        </w:rPr>
        <w:t xml:space="preserve"> </w:t>
      </w:r>
      <w:r w:rsidRPr="00435653">
        <w:rPr>
          <w:rFonts w:ascii="Century" w:hAnsi="Century" w:hint="eastAsia"/>
          <w:sz w:val="22"/>
          <w:rtl/>
        </w:rPr>
        <w:t>התאגידים</w:t>
      </w:r>
      <w:r w:rsidRPr="00435653">
        <w:rPr>
          <w:rFonts w:ascii="Century" w:hAnsi="Century"/>
          <w:sz w:val="22"/>
          <w:rtl/>
        </w:rPr>
        <w:t xml:space="preserve"> </w:t>
      </w:r>
      <w:r w:rsidRPr="00435653">
        <w:rPr>
          <w:rFonts w:ascii="Century" w:hAnsi="Century" w:hint="cs"/>
          <w:sz w:val="22"/>
          <w:rtl/>
        </w:rPr>
        <w:t>מטפלים</w:t>
      </w:r>
      <w:r w:rsidRPr="00435653">
        <w:rPr>
          <w:rFonts w:ascii="Century" w:hAnsi="Century"/>
          <w:sz w:val="22"/>
          <w:rtl/>
        </w:rPr>
        <w:t xml:space="preserve"> </w:t>
      </w:r>
      <w:r w:rsidRPr="00435653">
        <w:rPr>
          <w:rFonts w:ascii="Century" w:hAnsi="Century" w:hint="cs"/>
          <w:sz w:val="22"/>
          <w:rtl/>
        </w:rPr>
        <w:t>ב</w:t>
      </w:r>
      <w:r w:rsidRPr="00435653">
        <w:rPr>
          <w:rFonts w:ascii="Century" w:hAnsi="Century" w:hint="eastAsia"/>
          <w:sz w:val="22"/>
          <w:rtl/>
        </w:rPr>
        <w:t>שלוש</w:t>
      </w:r>
      <w:r w:rsidRPr="00435653">
        <w:rPr>
          <w:rFonts w:ascii="Century" w:hAnsi="Century"/>
          <w:sz w:val="22"/>
          <w:rtl/>
        </w:rPr>
        <w:t xml:space="preserve"> </w:t>
      </w:r>
      <w:r w:rsidRPr="00435653">
        <w:rPr>
          <w:rFonts w:ascii="Century" w:hAnsi="Century" w:hint="eastAsia"/>
          <w:sz w:val="22"/>
          <w:rtl/>
        </w:rPr>
        <w:t>בעיות</w:t>
      </w:r>
      <w:r w:rsidRPr="00435653">
        <w:rPr>
          <w:rFonts w:ascii="Century" w:hAnsi="Century"/>
          <w:sz w:val="22"/>
          <w:rtl/>
        </w:rPr>
        <w:t xml:space="preserve"> </w:t>
      </w:r>
      <w:r w:rsidRPr="00435653">
        <w:rPr>
          <w:rFonts w:ascii="Century" w:hAnsi="Century" w:hint="eastAsia"/>
          <w:sz w:val="22"/>
          <w:rtl/>
        </w:rPr>
        <w:t>נציג</w:t>
      </w:r>
      <w:r w:rsidRPr="00435653">
        <w:rPr>
          <w:rFonts w:ascii="Century" w:hAnsi="Century"/>
          <w:sz w:val="22"/>
          <w:rtl/>
        </w:rPr>
        <w:t xml:space="preserve"> </w:t>
      </w:r>
      <w:r w:rsidRPr="00435653">
        <w:rPr>
          <w:rFonts w:ascii="Century" w:hAnsi="Century" w:hint="eastAsia"/>
          <w:sz w:val="22"/>
          <w:rtl/>
        </w:rPr>
        <w:t>אופייניות</w:t>
      </w:r>
      <w:r w:rsidRPr="00435653">
        <w:rPr>
          <w:rFonts w:ascii="Century" w:hAnsi="Century"/>
          <w:sz w:val="22"/>
          <w:rtl/>
        </w:rPr>
        <w:t xml:space="preserve"> </w:t>
      </w:r>
      <w:r w:rsidRPr="00435653">
        <w:rPr>
          <w:rFonts w:ascii="Century" w:hAnsi="Century" w:hint="eastAsia"/>
          <w:sz w:val="22"/>
          <w:rtl/>
        </w:rPr>
        <w:t>המתעוררות</w:t>
      </w:r>
      <w:r w:rsidRPr="00435653">
        <w:rPr>
          <w:rFonts w:ascii="Century" w:hAnsi="Century"/>
          <w:sz w:val="22"/>
          <w:rtl/>
        </w:rPr>
        <w:t xml:space="preserve"> </w:t>
      </w:r>
      <w:r w:rsidRPr="00435653">
        <w:rPr>
          <w:rFonts w:ascii="Century" w:hAnsi="Century" w:hint="eastAsia"/>
          <w:sz w:val="22"/>
          <w:rtl/>
        </w:rPr>
        <w:t>עקב</w:t>
      </w:r>
      <w:r w:rsidRPr="00435653">
        <w:rPr>
          <w:rFonts w:ascii="Century" w:hAnsi="Century"/>
          <w:sz w:val="22"/>
          <w:rtl/>
        </w:rPr>
        <w:t xml:space="preserve"> </w:t>
      </w:r>
      <w:r w:rsidRPr="00435653">
        <w:rPr>
          <w:rFonts w:ascii="Century" w:hAnsi="Century" w:hint="eastAsia"/>
          <w:sz w:val="22"/>
          <w:rtl/>
        </w:rPr>
        <w:t>הפעילות</w:t>
      </w:r>
      <w:r w:rsidRPr="00435653">
        <w:rPr>
          <w:rFonts w:ascii="Century" w:hAnsi="Century"/>
          <w:sz w:val="22"/>
          <w:rtl/>
        </w:rPr>
        <w:t xml:space="preserve"> </w:t>
      </w:r>
      <w:r w:rsidRPr="00435653">
        <w:rPr>
          <w:rFonts w:ascii="Century" w:hAnsi="Century" w:hint="eastAsia"/>
          <w:sz w:val="22"/>
          <w:rtl/>
        </w:rPr>
        <w:t>במסגרת</w:t>
      </w:r>
      <w:r w:rsidRPr="00435653">
        <w:rPr>
          <w:rFonts w:ascii="Century" w:hAnsi="Century"/>
          <w:sz w:val="22"/>
          <w:rtl/>
        </w:rPr>
        <w:t xml:space="preserve"> </w:t>
      </w:r>
      <w:r w:rsidRPr="00435653">
        <w:rPr>
          <w:rFonts w:ascii="Century" w:hAnsi="Century" w:hint="eastAsia"/>
          <w:sz w:val="22"/>
          <w:rtl/>
        </w:rPr>
        <w:t>תאגיד</w:t>
      </w:r>
      <w:r w:rsidRPr="00435653">
        <w:rPr>
          <w:rFonts w:ascii="Century" w:hAnsi="Century"/>
          <w:sz w:val="22"/>
          <w:rtl/>
        </w:rPr>
        <w:t xml:space="preserve"> – (1) </w:t>
      </w:r>
      <w:r w:rsidRPr="00435653">
        <w:rPr>
          <w:rFonts w:ascii="Century" w:hAnsi="Century" w:hint="eastAsia"/>
          <w:sz w:val="22"/>
          <w:rtl/>
        </w:rPr>
        <w:t>בעיית</w:t>
      </w:r>
      <w:r w:rsidRPr="00435653">
        <w:rPr>
          <w:rFonts w:ascii="Century" w:hAnsi="Century"/>
          <w:sz w:val="22"/>
          <w:rtl/>
        </w:rPr>
        <w:t xml:space="preserve"> </w:t>
      </w:r>
      <w:r w:rsidRPr="00435653">
        <w:rPr>
          <w:rFonts w:ascii="Century" w:hAnsi="Century" w:hint="eastAsia"/>
          <w:sz w:val="22"/>
          <w:rtl/>
        </w:rPr>
        <w:t>הנציג</w:t>
      </w:r>
      <w:r w:rsidRPr="00435653">
        <w:rPr>
          <w:rFonts w:ascii="Century" w:hAnsi="Century"/>
          <w:sz w:val="22"/>
          <w:rtl/>
        </w:rPr>
        <w:t xml:space="preserve"> </w:t>
      </w:r>
      <w:r w:rsidRPr="00435653">
        <w:rPr>
          <w:rFonts w:ascii="Century" w:hAnsi="Century" w:hint="eastAsia"/>
          <w:sz w:val="22"/>
          <w:rtl/>
        </w:rPr>
        <w:t>שבין</w:t>
      </w:r>
      <w:r w:rsidRPr="00435653">
        <w:rPr>
          <w:rFonts w:ascii="Century" w:hAnsi="Century"/>
          <w:sz w:val="22"/>
          <w:rtl/>
        </w:rPr>
        <w:t xml:space="preserve"> </w:t>
      </w:r>
      <w:r w:rsidRPr="00435653">
        <w:rPr>
          <w:rFonts w:ascii="Century" w:hAnsi="Century" w:hint="eastAsia"/>
          <w:sz w:val="22"/>
          <w:rtl/>
        </w:rPr>
        <w:t>ההנהלה</w:t>
      </w:r>
      <w:r w:rsidRPr="00435653">
        <w:rPr>
          <w:rFonts w:ascii="Century" w:hAnsi="Century"/>
          <w:sz w:val="22"/>
          <w:rtl/>
        </w:rPr>
        <w:t xml:space="preserve"> </w:t>
      </w:r>
      <w:r w:rsidRPr="00435653">
        <w:rPr>
          <w:rFonts w:ascii="Century" w:hAnsi="Century" w:hint="eastAsia"/>
          <w:sz w:val="22"/>
          <w:rtl/>
        </w:rPr>
        <w:t>ובין</w:t>
      </w:r>
      <w:r w:rsidRPr="00435653">
        <w:rPr>
          <w:rFonts w:ascii="Century" w:hAnsi="Century"/>
          <w:sz w:val="22"/>
          <w:rtl/>
        </w:rPr>
        <w:t xml:space="preserve"> </w:t>
      </w:r>
      <w:r w:rsidRPr="00435653">
        <w:rPr>
          <w:rFonts w:ascii="Century" w:hAnsi="Century" w:hint="eastAsia"/>
          <w:sz w:val="22"/>
          <w:rtl/>
        </w:rPr>
        <w:t>בעלי</w:t>
      </w:r>
      <w:r w:rsidRPr="00435653">
        <w:rPr>
          <w:rFonts w:ascii="Century" w:hAnsi="Century"/>
          <w:sz w:val="22"/>
          <w:rtl/>
        </w:rPr>
        <w:t xml:space="preserve"> </w:t>
      </w:r>
      <w:r w:rsidRPr="00435653">
        <w:rPr>
          <w:rFonts w:ascii="Century" w:hAnsi="Century" w:hint="eastAsia"/>
          <w:sz w:val="22"/>
          <w:rtl/>
        </w:rPr>
        <w:t>המניות</w:t>
      </w:r>
      <w:r w:rsidRPr="00435653">
        <w:rPr>
          <w:rFonts w:ascii="Century" w:hAnsi="Century"/>
          <w:sz w:val="22"/>
          <w:rtl/>
        </w:rPr>
        <w:t xml:space="preserve"> (2) </w:t>
      </w:r>
      <w:r w:rsidRPr="00435653">
        <w:rPr>
          <w:rFonts w:ascii="Century" w:hAnsi="Century" w:hint="eastAsia"/>
          <w:sz w:val="22"/>
          <w:rtl/>
        </w:rPr>
        <w:t>בעיית</w:t>
      </w:r>
      <w:r w:rsidRPr="00435653">
        <w:rPr>
          <w:rFonts w:ascii="Century" w:hAnsi="Century"/>
          <w:sz w:val="22"/>
          <w:rtl/>
        </w:rPr>
        <w:t xml:space="preserve"> </w:t>
      </w:r>
      <w:r w:rsidRPr="00435653">
        <w:rPr>
          <w:rFonts w:ascii="Century" w:hAnsi="Century" w:hint="eastAsia"/>
          <w:sz w:val="22"/>
          <w:rtl/>
        </w:rPr>
        <w:t>הנציג</w:t>
      </w:r>
      <w:r w:rsidRPr="00435653">
        <w:rPr>
          <w:rFonts w:ascii="Century" w:hAnsi="Century"/>
          <w:sz w:val="22"/>
          <w:rtl/>
        </w:rPr>
        <w:t xml:space="preserve"> </w:t>
      </w:r>
      <w:r w:rsidRPr="00435653">
        <w:rPr>
          <w:rFonts w:ascii="Century" w:hAnsi="Century" w:hint="eastAsia"/>
          <w:sz w:val="22"/>
          <w:rtl/>
        </w:rPr>
        <w:t>שבין</w:t>
      </w:r>
      <w:r w:rsidRPr="00435653">
        <w:rPr>
          <w:rFonts w:ascii="Century" w:hAnsi="Century"/>
          <w:sz w:val="22"/>
          <w:rtl/>
        </w:rPr>
        <w:t xml:space="preserve"> </w:t>
      </w:r>
      <w:r w:rsidRPr="00435653">
        <w:rPr>
          <w:rFonts w:ascii="Century" w:hAnsi="Century" w:hint="eastAsia"/>
          <w:sz w:val="22"/>
          <w:rtl/>
        </w:rPr>
        <w:t>בעלי</w:t>
      </w:r>
      <w:r w:rsidRPr="00435653">
        <w:rPr>
          <w:rFonts w:ascii="Century" w:hAnsi="Century"/>
          <w:sz w:val="22"/>
          <w:rtl/>
        </w:rPr>
        <w:t xml:space="preserve"> </w:t>
      </w:r>
      <w:r w:rsidRPr="00435653">
        <w:rPr>
          <w:rFonts w:ascii="Century" w:hAnsi="Century" w:hint="eastAsia"/>
          <w:sz w:val="22"/>
          <w:rtl/>
        </w:rPr>
        <w:t>המניות</w:t>
      </w:r>
      <w:r w:rsidRPr="00435653">
        <w:rPr>
          <w:rFonts w:ascii="Century" w:hAnsi="Century"/>
          <w:sz w:val="22"/>
          <w:rtl/>
        </w:rPr>
        <w:t xml:space="preserve"> </w:t>
      </w:r>
      <w:r w:rsidRPr="00435653">
        <w:rPr>
          <w:rFonts w:ascii="Century" w:hAnsi="Century" w:hint="eastAsia"/>
          <w:sz w:val="22"/>
          <w:rtl/>
        </w:rPr>
        <w:t>ובין</w:t>
      </w:r>
      <w:r w:rsidRPr="00435653">
        <w:rPr>
          <w:rFonts w:ascii="Century" w:hAnsi="Century"/>
          <w:sz w:val="22"/>
          <w:rtl/>
        </w:rPr>
        <w:t xml:space="preserve"> </w:t>
      </w:r>
      <w:r w:rsidRPr="00435653">
        <w:rPr>
          <w:rFonts w:ascii="Century" w:hAnsi="Century" w:hint="eastAsia"/>
          <w:sz w:val="22"/>
          <w:rtl/>
        </w:rPr>
        <w:t>בעלי</w:t>
      </w:r>
      <w:r w:rsidRPr="00435653">
        <w:rPr>
          <w:rFonts w:ascii="Century" w:hAnsi="Century"/>
          <w:sz w:val="22"/>
          <w:rtl/>
        </w:rPr>
        <w:t xml:space="preserve"> </w:t>
      </w:r>
      <w:r w:rsidRPr="00435653">
        <w:rPr>
          <w:rFonts w:ascii="Century" w:hAnsi="Century" w:hint="eastAsia"/>
          <w:sz w:val="22"/>
          <w:rtl/>
        </w:rPr>
        <w:t>תביעה</w:t>
      </w:r>
      <w:r w:rsidRPr="00435653">
        <w:rPr>
          <w:rFonts w:ascii="Century" w:hAnsi="Century"/>
          <w:sz w:val="22"/>
          <w:rtl/>
        </w:rPr>
        <w:t xml:space="preserve"> </w:t>
      </w:r>
      <w:r w:rsidRPr="00435653">
        <w:rPr>
          <w:rFonts w:ascii="Century" w:hAnsi="Century" w:hint="eastAsia"/>
          <w:sz w:val="22"/>
          <w:rtl/>
        </w:rPr>
        <w:t>אחרים</w:t>
      </w:r>
      <w:r w:rsidRPr="00435653">
        <w:rPr>
          <w:rFonts w:ascii="Century" w:hAnsi="Century"/>
          <w:sz w:val="22"/>
          <w:rtl/>
        </w:rPr>
        <w:t xml:space="preserve"> (3) </w:t>
      </w:r>
      <w:r w:rsidRPr="00435653">
        <w:rPr>
          <w:rFonts w:ascii="Century" w:hAnsi="Century" w:hint="eastAsia"/>
          <w:sz w:val="22"/>
          <w:rtl/>
        </w:rPr>
        <w:t>ובעיית</w:t>
      </w:r>
      <w:r w:rsidRPr="00435653">
        <w:rPr>
          <w:rFonts w:ascii="Century" w:hAnsi="Century"/>
          <w:sz w:val="22"/>
          <w:rtl/>
        </w:rPr>
        <w:t xml:space="preserve"> </w:t>
      </w:r>
      <w:r w:rsidRPr="00435653">
        <w:rPr>
          <w:rFonts w:ascii="Century" w:hAnsi="Century" w:hint="eastAsia"/>
          <w:sz w:val="22"/>
          <w:rtl/>
        </w:rPr>
        <w:t>הנציג</w:t>
      </w:r>
      <w:r w:rsidRPr="00435653">
        <w:rPr>
          <w:rFonts w:ascii="Century" w:hAnsi="Century"/>
          <w:sz w:val="22"/>
          <w:rtl/>
        </w:rPr>
        <w:t xml:space="preserve"> </w:t>
      </w:r>
      <w:r w:rsidRPr="00435653">
        <w:rPr>
          <w:rFonts w:ascii="Century" w:hAnsi="Century" w:hint="eastAsia"/>
          <w:sz w:val="22"/>
          <w:rtl/>
        </w:rPr>
        <w:t>שבין</w:t>
      </w:r>
      <w:r w:rsidRPr="00435653">
        <w:rPr>
          <w:rFonts w:ascii="Century" w:hAnsi="Century"/>
          <w:sz w:val="22"/>
          <w:rtl/>
        </w:rPr>
        <w:t xml:space="preserve"> </w:t>
      </w:r>
      <w:r w:rsidRPr="00435653">
        <w:rPr>
          <w:rFonts w:ascii="Century" w:hAnsi="Century" w:hint="eastAsia"/>
          <w:sz w:val="22"/>
          <w:rtl/>
        </w:rPr>
        <w:t>רוב</w:t>
      </w:r>
      <w:r w:rsidRPr="00435653">
        <w:rPr>
          <w:rFonts w:ascii="Century" w:hAnsi="Century"/>
          <w:sz w:val="22"/>
          <w:rtl/>
        </w:rPr>
        <w:t xml:space="preserve"> </w:t>
      </w:r>
      <w:r w:rsidRPr="00435653">
        <w:rPr>
          <w:rFonts w:ascii="Century" w:hAnsi="Century" w:hint="eastAsia"/>
          <w:sz w:val="22"/>
          <w:rtl/>
        </w:rPr>
        <w:t>בעלי</w:t>
      </w:r>
      <w:r w:rsidRPr="00435653">
        <w:rPr>
          <w:rFonts w:ascii="Century" w:hAnsi="Century"/>
          <w:sz w:val="22"/>
          <w:rtl/>
        </w:rPr>
        <w:t xml:space="preserve"> </w:t>
      </w:r>
      <w:r w:rsidRPr="00435653">
        <w:rPr>
          <w:rFonts w:ascii="Century" w:hAnsi="Century" w:hint="eastAsia"/>
          <w:sz w:val="22"/>
          <w:rtl/>
        </w:rPr>
        <w:t>המניות</w:t>
      </w:r>
      <w:r w:rsidRPr="00435653">
        <w:rPr>
          <w:rFonts w:ascii="Century" w:hAnsi="Century"/>
          <w:sz w:val="22"/>
          <w:rtl/>
        </w:rPr>
        <w:t xml:space="preserve"> </w:t>
      </w:r>
      <w:r w:rsidRPr="00435653">
        <w:rPr>
          <w:rFonts w:ascii="Century" w:hAnsi="Century" w:hint="eastAsia"/>
          <w:sz w:val="22"/>
          <w:rtl/>
        </w:rPr>
        <w:t>ובין</w:t>
      </w:r>
      <w:r w:rsidRPr="00435653">
        <w:rPr>
          <w:rFonts w:ascii="Century" w:hAnsi="Century"/>
          <w:sz w:val="22"/>
          <w:rtl/>
        </w:rPr>
        <w:t xml:space="preserve"> </w:t>
      </w:r>
      <w:r w:rsidRPr="00435653">
        <w:rPr>
          <w:rFonts w:ascii="Century" w:hAnsi="Century" w:hint="eastAsia"/>
          <w:sz w:val="22"/>
          <w:rtl/>
        </w:rPr>
        <w:t>מיעוטם</w:t>
      </w:r>
      <w:r w:rsidRPr="00435653">
        <w:rPr>
          <w:rFonts w:ascii="Century" w:hAnsi="Century"/>
          <w:sz w:val="22"/>
          <w:rtl/>
        </w:rPr>
        <w:t xml:space="preserve"> (</w:t>
      </w:r>
      <w:r w:rsidRPr="00435653">
        <w:rPr>
          <w:rFonts w:ascii="Century" w:hAnsi="Century" w:hint="eastAsia"/>
          <w:sz w:val="22"/>
          <w:rtl/>
        </w:rPr>
        <w:t>שם</w:t>
      </w:r>
      <w:r w:rsidRPr="00435653">
        <w:rPr>
          <w:rFonts w:ascii="Century" w:hAnsi="Century"/>
          <w:sz w:val="22"/>
          <w:rtl/>
        </w:rPr>
        <w:t xml:space="preserve">, </w:t>
      </w:r>
      <w:r w:rsidRPr="00435653">
        <w:rPr>
          <w:rFonts w:ascii="Century" w:hAnsi="Century" w:hint="eastAsia"/>
          <w:sz w:val="22"/>
          <w:rtl/>
        </w:rPr>
        <w:t>בעמוד</w:t>
      </w:r>
      <w:r w:rsidRPr="00435653">
        <w:rPr>
          <w:rFonts w:ascii="Century" w:hAnsi="Century"/>
          <w:sz w:val="22"/>
          <w:rtl/>
        </w:rPr>
        <w:t xml:space="preserve"> 242</w:t>
      </w:r>
      <w:r>
        <w:rPr>
          <w:rFonts w:ascii="Century" w:hAnsi="Century" w:hint="cs"/>
          <w:sz w:val="22"/>
          <w:rtl/>
        </w:rPr>
        <w:t xml:space="preserve">). </w:t>
      </w:r>
      <w:r w:rsidRPr="00435653">
        <w:rPr>
          <w:rFonts w:ascii="Century" w:hAnsi="Century" w:hint="cs"/>
          <w:sz w:val="22"/>
          <w:rtl/>
        </w:rPr>
        <w:t xml:space="preserve">להשלמת התמונה יצוין, כי ישנן סיטואציות ייחודיות המעוררות אף הן 'בעיות נציג' ייחודית בסביבה התאגידית, כמו למשל, </w:t>
      </w:r>
      <w:proofErr w:type="spellStart"/>
      <w:r w:rsidRPr="00435653">
        <w:rPr>
          <w:rFonts w:ascii="Century" w:hAnsi="Century" w:hint="cs"/>
          <w:sz w:val="22"/>
          <w:rtl/>
        </w:rPr>
        <w:t>כשעסקי</w:t>
      </w:r>
      <w:r>
        <w:rPr>
          <w:rFonts w:ascii="Century" w:hAnsi="Century" w:hint="cs"/>
          <w:sz w:val="22"/>
          <w:rtl/>
        </w:rPr>
        <w:t>נן</w:t>
      </w:r>
      <w:proofErr w:type="spellEnd"/>
      <w:r>
        <w:rPr>
          <w:rFonts w:ascii="Century" w:hAnsi="Century" w:hint="cs"/>
          <w:sz w:val="22"/>
          <w:rtl/>
        </w:rPr>
        <w:t xml:space="preserve"> בתביעה נגזרת (</w:t>
      </w:r>
      <w:r w:rsidRPr="00435653">
        <w:rPr>
          <w:rFonts w:ascii="Century" w:hAnsi="Century" w:hint="cs"/>
          <w:sz w:val="22"/>
          <w:rtl/>
        </w:rPr>
        <w:t xml:space="preserve">להרחבה ראו: אסף חמדני ורות רונן "מי שולט בתביעה הנגזרת?" </w:t>
      </w:r>
      <w:r w:rsidRPr="00435653">
        <w:rPr>
          <w:rFonts w:ascii="Century" w:hAnsi="Century" w:cs="Miriam" w:hint="cs"/>
          <w:b/>
          <w:spacing w:val="0"/>
          <w:sz w:val="22"/>
          <w:szCs w:val="24"/>
          <w:rtl/>
        </w:rPr>
        <w:t xml:space="preserve">ספר יורם </w:t>
      </w:r>
      <w:proofErr w:type="spellStart"/>
      <w:r w:rsidRPr="00435653">
        <w:rPr>
          <w:rFonts w:ascii="Century" w:hAnsi="Century" w:cs="Miriam" w:hint="cs"/>
          <w:b/>
          <w:spacing w:val="0"/>
          <w:sz w:val="22"/>
          <w:szCs w:val="24"/>
          <w:rtl/>
        </w:rPr>
        <w:t>דנציגר</w:t>
      </w:r>
      <w:proofErr w:type="spellEnd"/>
      <w:r w:rsidRPr="00435653">
        <w:rPr>
          <w:rFonts w:ascii="Century" w:hAnsi="Century" w:hint="cs"/>
          <w:sz w:val="22"/>
          <w:rtl/>
        </w:rPr>
        <w:t xml:space="preserve"> 211, 220 (לימור זר-גוטמן ועידו באום עורכים, 2019)).  </w:t>
      </w:r>
      <w:r w:rsidRPr="00435653">
        <w:rPr>
          <w:rFonts w:ascii="Century" w:hAnsi="Century"/>
          <w:sz w:val="22"/>
          <w:rtl/>
        </w:rPr>
        <w:t xml:space="preserve"> </w:t>
      </w:r>
    </w:p>
    <w:p w:rsidR="00433434" w:rsidRPr="00435653" w:rsidRDefault="00433434" w:rsidP="00433434">
      <w:pPr>
        <w:pStyle w:val="Ruller4"/>
        <w:spacing w:before="240" w:after="240"/>
      </w:pPr>
      <w:r w:rsidRPr="00435653">
        <w:rPr>
          <w:rFonts w:hint="cs"/>
          <w:rtl/>
        </w:rPr>
        <w:t xml:space="preserve">לשם ההדגמה, על מנת להתמודד עם בעיית הנציג הראשונה, מוטלת על נושא משרה </w:t>
      </w:r>
      <w:r w:rsidRPr="00435653">
        <w:rPr>
          <w:rFonts w:ascii="Century" w:hAnsi="Century" w:cs="Miriam" w:hint="cs"/>
          <w:b/>
          <w:spacing w:val="0"/>
          <w:sz w:val="22"/>
          <w:szCs w:val="24"/>
          <w:rtl/>
        </w:rPr>
        <w:t xml:space="preserve">חובת אמונים </w:t>
      </w:r>
      <w:r w:rsidRPr="00435653">
        <w:rPr>
          <w:rFonts w:ascii="Century" w:hAnsi="Century" w:hint="cs"/>
          <w:sz w:val="22"/>
          <w:rtl/>
        </w:rPr>
        <w:t>כלפי החברה, מכוח סעיף 254 לחוק החברות (</w:t>
      </w:r>
      <w:proofErr w:type="spellStart"/>
      <w:r w:rsidRPr="00435653">
        <w:rPr>
          <w:rFonts w:ascii="Century" w:hAnsi="Century" w:hint="cs"/>
          <w:sz w:val="22"/>
          <w:rtl/>
        </w:rPr>
        <w:t>לנפקותה</w:t>
      </w:r>
      <w:proofErr w:type="spellEnd"/>
      <w:r w:rsidRPr="00435653">
        <w:rPr>
          <w:rFonts w:ascii="Century" w:hAnsi="Century" w:hint="cs"/>
          <w:sz w:val="22"/>
          <w:rtl/>
        </w:rPr>
        <w:t xml:space="preserve"> של חובה זו, ראו: ע"א 610/94 </w:t>
      </w:r>
      <w:proofErr w:type="spellStart"/>
      <w:r w:rsidRPr="00435653">
        <w:rPr>
          <w:rFonts w:ascii="Century" w:hAnsi="Century" w:cs="Miriam" w:hint="cs"/>
          <w:b/>
          <w:spacing w:val="0"/>
          <w:sz w:val="22"/>
          <w:szCs w:val="24"/>
          <w:rtl/>
        </w:rPr>
        <w:t>בוכבינדר</w:t>
      </w:r>
      <w:proofErr w:type="spellEnd"/>
      <w:r w:rsidRPr="00435653">
        <w:rPr>
          <w:rFonts w:ascii="Century" w:hAnsi="Century" w:cs="Miriam" w:hint="cs"/>
          <w:b/>
          <w:spacing w:val="0"/>
          <w:sz w:val="22"/>
          <w:szCs w:val="24"/>
          <w:rtl/>
        </w:rPr>
        <w:t xml:space="preserve"> נ' כונס הנכסים הרשמי בתפקידו כמפרק בנק צפון אמריקה</w:t>
      </w:r>
      <w:r w:rsidRPr="00435653">
        <w:rPr>
          <w:rFonts w:ascii="Century" w:hAnsi="Century" w:hint="cs"/>
          <w:sz w:val="22"/>
          <w:rtl/>
        </w:rPr>
        <w:t xml:space="preserve">, פ"ד </w:t>
      </w:r>
      <w:proofErr w:type="spellStart"/>
      <w:r w:rsidRPr="00435653">
        <w:rPr>
          <w:rFonts w:ascii="Century" w:hAnsi="Century" w:hint="cs"/>
          <w:sz w:val="22"/>
          <w:rtl/>
        </w:rPr>
        <w:t>נז</w:t>
      </w:r>
      <w:proofErr w:type="spellEnd"/>
      <w:r w:rsidRPr="00435653">
        <w:rPr>
          <w:rFonts w:ascii="Century" w:hAnsi="Century" w:hint="cs"/>
          <w:sz w:val="22"/>
          <w:rtl/>
        </w:rPr>
        <w:t xml:space="preserve">(4) 289, 333-332 (2003)). </w:t>
      </w:r>
      <w:r w:rsidRPr="00435653">
        <w:rPr>
          <w:rFonts w:hint="cs"/>
          <w:rtl/>
        </w:rPr>
        <w:t xml:space="preserve">לצדה, מוטלת עליו גם חובת זהירות כלפי החברה </w:t>
      </w:r>
      <w:r w:rsidRPr="00435653">
        <w:rPr>
          <w:rFonts w:hint="cs"/>
          <w:rtl/>
        </w:rPr>
        <w:lastRenderedPageBreak/>
        <w:t xml:space="preserve">(ראו: סעיף 252 לחוק החברות) ופסיקתנו אף הכירה בכך שבנסיבות מסוימות, הוא </w:t>
      </w:r>
      <w:proofErr w:type="spellStart"/>
      <w:r w:rsidRPr="00435653">
        <w:rPr>
          <w:rFonts w:hint="cs"/>
          <w:rtl/>
        </w:rPr>
        <w:t>יחוב</w:t>
      </w:r>
      <w:proofErr w:type="spellEnd"/>
      <w:r w:rsidRPr="00435653">
        <w:rPr>
          <w:rFonts w:hint="cs"/>
          <w:rtl/>
        </w:rPr>
        <w:t xml:space="preserve"> גם בחובת זהירות </w:t>
      </w:r>
      <w:r w:rsidRPr="00435653">
        <w:rPr>
          <w:rFonts w:ascii="Century" w:hAnsi="Century" w:cs="Miriam" w:hint="cs"/>
          <w:b/>
          <w:spacing w:val="0"/>
          <w:sz w:val="22"/>
          <w:szCs w:val="24"/>
          <w:rtl/>
        </w:rPr>
        <w:t>ישירה</w:t>
      </w:r>
      <w:r w:rsidRPr="00435653">
        <w:rPr>
          <w:rFonts w:ascii="Century" w:hAnsi="Century" w:hint="cs"/>
          <w:sz w:val="22"/>
          <w:rtl/>
        </w:rPr>
        <w:t>, כלפי בעלי המניות</w:t>
      </w:r>
      <w:r w:rsidRPr="00435653">
        <w:rPr>
          <w:rFonts w:hint="cs"/>
          <w:rtl/>
        </w:rPr>
        <w:t xml:space="preserve"> (ע"א 3417/16 </w:t>
      </w:r>
      <w:proofErr w:type="spellStart"/>
      <w:r w:rsidRPr="00435653">
        <w:rPr>
          <w:rFonts w:ascii="Century" w:hAnsi="Century" w:cs="Miriam" w:hint="cs"/>
          <w:b/>
          <w:spacing w:val="0"/>
          <w:sz w:val="22"/>
          <w:szCs w:val="24"/>
          <w:rtl/>
        </w:rPr>
        <w:t>פינרוס</w:t>
      </w:r>
      <w:proofErr w:type="spellEnd"/>
      <w:r w:rsidRPr="00435653">
        <w:rPr>
          <w:rFonts w:ascii="Century" w:hAnsi="Century" w:cs="Miriam" w:hint="cs"/>
          <w:b/>
          <w:spacing w:val="0"/>
          <w:sz w:val="22"/>
          <w:szCs w:val="24"/>
          <w:rtl/>
        </w:rPr>
        <w:t xml:space="preserve"> החזקות בע"מ נ' גולדשטיין</w:t>
      </w:r>
      <w:r w:rsidRPr="00435653">
        <w:rPr>
          <w:rFonts w:ascii="Century" w:hAnsi="Century" w:hint="cs"/>
          <w:sz w:val="22"/>
          <w:rtl/>
        </w:rPr>
        <w:t>, פסקה 61 (12.07.2021)</w:t>
      </w:r>
      <w:r w:rsidRPr="00435653">
        <w:rPr>
          <w:rFonts w:hint="cs"/>
          <w:rtl/>
        </w:rPr>
        <w:t>).</w:t>
      </w:r>
    </w:p>
    <w:p w:rsidR="00433434" w:rsidRPr="00435653" w:rsidRDefault="00433434" w:rsidP="00433434">
      <w:pPr>
        <w:pStyle w:val="Ruller4"/>
        <w:spacing w:before="240" w:after="240"/>
      </w:pPr>
      <w:r w:rsidRPr="00435653">
        <w:rPr>
          <w:rFonts w:hint="cs"/>
          <w:rtl/>
        </w:rPr>
        <w:t xml:space="preserve">כנגזרת של חובת האמונים המוטלת, בין השאר, על דירקטור, עליו גם להפעיל שיקול דעת עצמאי בעת ההצבעה בדירקטוריון (ראו: סעיף 106(א) לחוק החברות). החשש המרכזי עמו מתמודד סעיף 106(א) לחוק החברות הוא כי שיקול דעתו של הדירקטור יטה, באופן לא מוצדק, לטובת בעל השליטה, בניגוד לטובת החברה (עניין </w:t>
      </w:r>
      <w:r w:rsidRPr="00435653">
        <w:rPr>
          <w:rFonts w:ascii="Century" w:hAnsi="Century" w:cs="Miriam" w:hint="cs"/>
          <w:b/>
          <w:spacing w:val="0"/>
          <w:sz w:val="22"/>
          <w:szCs w:val="24"/>
          <w:rtl/>
        </w:rPr>
        <w:t>נבון</w:t>
      </w:r>
      <w:r w:rsidRPr="00435653">
        <w:rPr>
          <w:rFonts w:ascii="Century" w:hAnsi="Century" w:hint="cs"/>
          <w:sz w:val="22"/>
          <w:rtl/>
        </w:rPr>
        <w:t xml:space="preserve">, בפסקה 56; </w:t>
      </w:r>
      <w:r w:rsidRPr="00435653">
        <w:rPr>
          <w:rFonts w:hint="cs"/>
          <w:rtl/>
        </w:rPr>
        <w:t xml:space="preserve">זוהר גושן ואסף אקשטיין </w:t>
      </w:r>
      <w:r w:rsidRPr="00435653">
        <w:rPr>
          <w:rFonts w:ascii="Century" w:hAnsi="Century" w:cs="Miriam" w:hint="cs"/>
          <w:b/>
          <w:spacing w:val="0"/>
          <w:sz w:val="22"/>
          <w:szCs w:val="24"/>
          <w:rtl/>
        </w:rPr>
        <w:t>דיני חברות</w:t>
      </w:r>
      <w:r w:rsidRPr="00435653">
        <w:rPr>
          <w:rFonts w:ascii="Century" w:hAnsi="Century" w:hint="cs"/>
          <w:sz w:val="22"/>
          <w:rtl/>
        </w:rPr>
        <w:t xml:space="preserve"> 259 (2023) </w:t>
      </w:r>
      <w:r w:rsidRPr="00435653">
        <w:rPr>
          <w:rFonts w:ascii="Century" w:hAnsi="Century"/>
          <w:sz w:val="22"/>
          <w:rtl/>
        </w:rPr>
        <w:t>(</w:t>
      </w:r>
      <w:r w:rsidRPr="00435653">
        <w:rPr>
          <w:rFonts w:ascii="Century" w:hAnsi="Century" w:hint="eastAsia"/>
          <w:sz w:val="22"/>
          <w:rtl/>
        </w:rPr>
        <w:t>להלן</w:t>
      </w:r>
      <w:r w:rsidRPr="00435653">
        <w:rPr>
          <w:rFonts w:ascii="Century" w:hAnsi="Century"/>
          <w:sz w:val="22"/>
          <w:rtl/>
        </w:rPr>
        <w:t xml:space="preserve">: </w:t>
      </w:r>
      <w:r w:rsidRPr="00435653">
        <w:rPr>
          <w:rFonts w:ascii="Century" w:hAnsi="Century" w:cs="Miriam" w:hint="cs"/>
          <w:b/>
          <w:spacing w:val="0"/>
          <w:sz w:val="22"/>
          <w:szCs w:val="24"/>
          <w:rtl/>
        </w:rPr>
        <w:t>גושן ואקשטיין</w:t>
      </w:r>
      <w:r w:rsidRPr="00435653">
        <w:rPr>
          <w:rFonts w:ascii="Century" w:hAnsi="Century" w:hint="cs"/>
          <w:sz w:val="22"/>
          <w:rtl/>
        </w:rPr>
        <w:t>)</w:t>
      </w:r>
      <w:r w:rsidRPr="00435653">
        <w:rPr>
          <w:rFonts w:hint="cs"/>
          <w:rtl/>
        </w:rPr>
        <w:t>). כפועל יוצא, נפסק בעבר כי "</w:t>
      </w:r>
      <w:r w:rsidRPr="00435653">
        <w:rPr>
          <w:rFonts w:ascii="Century" w:hAnsi="Century" w:cs="Miriam" w:hint="cs"/>
          <w:b/>
          <w:spacing w:val="0"/>
          <w:sz w:val="22"/>
          <w:szCs w:val="24"/>
          <w:rtl/>
        </w:rPr>
        <w:t>מקום בו נושא המשרה מבטל את רצונו מפני רצונו של בעל השליטה, הוא חוטא באי הפעלת שיקול דעת עצמאי, התנהלות המהווה [אף היא] הפרה של חובת האמונים</w:t>
      </w:r>
      <w:r w:rsidRPr="00435653">
        <w:rPr>
          <w:rFonts w:hint="cs"/>
          <w:rtl/>
        </w:rPr>
        <w:t>" (</w:t>
      </w:r>
      <w:r w:rsidRPr="00435653">
        <w:rPr>
          <w:rFonts w:ascii="Century" w:hAnsi="Century" w:hint="cs"/>
          <w:sz w:val="22"/>
          <w:rtl/>
        </w:rPr>
        <w:t xml:space="preserve">ע"א 7735/14 </w:t>
      </w:r>
      <w:proofErr w:type="spellStart"/>
      <w:r w:rsidRPr="00435653">
        <w:rPr>
          <w:rFonts w:ascii="Century" w:hAnsi="Century" w:cs="Miriam" w:hint="cs"/>
          <w:b/>
          <w:spacing w:val="0"/>
          <w:sz w:val="22"/>
          <w:szCs w:val="24"/>
          <w:rtl/>
        </w:rPr>
        <w:t>ורדניקוב</w:t>
      </w:r>
      <w:proofErr w:type="spellEnd"/>
      <w:r w:rsidRPr="00435653">
        <w:rPr>
          <w:rFonts w:ascii="Century" w:hAnsi="Century" w:cs="Miriam" w:hint="cs"/>
          <w:b/>
          <w:spacing w:val="0"/>
          <w:sz w:val="22"/>
          <w:szCs w:val="24"/>
          <w:rtl/>
        </w:rPr>
        <w:t xml:space="preserve"> נ' </w:t>
      </w:r>
      <w:proofErr w:type="spellStart"/>
      <w:r w:rsidRPr="00435653">
        <w:rPr>
          <w:rFonts w:ascii="Century" w:hAnsi="Century" w:cs="Miriam" w:hint="cs"/>
          <w:b/>
          <w:spacing w:val="0"/>
          <w:sz w:val="22"/>
          <w:szCs w:val="24"/>
          <w:rtl/>
        </w:rPr>
        <w:t>אלוביץ</w:t>
      </w:r>
      <w:proofErr w:type="spellEnd"/>
      <w:r w:rsidRPr="00435653">
        <w:rPr>
          <w:rFonts w:ascii="Century" w:hAnsi="Century" w:hint="cs"/>
          <w:sz w:val="22"/>
          <w:rtl/>
        </w:rPr>
        <w:t xml:space="preserve">, פסקה 111 (28.12.2016) </w:t>
      </w:r>
      <w:r w:rsidRPr="00435653">
        <w:rPr>
          <w:rFonts w:ascii="Century" w:hAnsi="Century"/>
          <w:sz w:val="22"/>
          <w:rtl/>
        </w:rPr>
        <w:t>(</w:t>
      </w:r>
      <w:r w:rsidRPr="00435653">
        <w:rPr>
          <w:rFonts w:ascii="Century" w:hAnsi="Century" w:hint="eastAsia"/>
          <w:sz w:val="22"/>
          <w:rtl/>
        </w:rPr>
        <w:t>להלן</w:t>
      </w:r>
      <w:r w:rsidRPr="00435653">
        <w:rPr>
          <w:rFonts w:ascii="Century" w:hAnsi="Century"/>
          <w:sz w:val="22"/>
          <w:rtl/>
        </w:rPr>
        <w:t xml:space="preserve">: </w:t>
      </w:r>
      <w:r w:rsidRPr="00435653">
        <w:rPr>
          <w:rFonts w:ascii="Century" w:hAnsi="Century" w:cs="Miriam" w:hint="cs"/>
          <w:b/>
          <w:spacing w:val="0"/>
          <w:sz w:val="22"/>
          <w:szCs w:val="24"/>
          <w:rtl/>
        </w:rPr>
        <w:t xml:space="preserve">עניין </w:t>
      </w:r>
      <w:proofErr w:type="spellStart"/>
      <w:r w:rsidRPr="00435653">
        <w:rPr>
          <w:rFonts w:ascii="Century" w:hAnsi="Century" w:cs="Miriam" w:hint="cs"/>
          <w:b/>
          <w:spacing w:val="0"/>
          <w:sz w:val="22"/>
          <w:szCs w:val="24"/>
          <w:rtl/>
        </w:rPr>
        <w:t>ורדניקוב</w:t>
      </w:r>
      <w:proofErr w:type="spellEnd"/>
      <w:r w:rsidRPr="00435653">
        <w:rPr>
          <w:rFonts w:ascii="Century" w:hAnsi="Century" w:hint="cs"/>
          <w:sz w:val="22"/>
          <w:rtl/>
        </w:rPr>
        <w:t>)</w:t>
      </w:r>
      <w:r w:rsidRPr="00435653">
        <w:rPr>
          <w:rFonts w:hint="cs"/>
          <w:rtl/>
        </w:rPr>
        <w:t>).</w:t>
      </w:r>
    </w:p>
    <w:p w:rsidR="00433434" w:rsidRPr="00435653" w:rsidRDefault="00433434" w:rsidP="00433434">
      <w:pPr>
        <w:pStyle w:val="Ruller4"/>
        <w:spacing w:before="240" w:after="240"/>
      </w:pPr>
      <w:r w:rsidRPr="00435653">
        <w:rPr>
          <w:rFonts w:hint="cs"/>
          <w:rtl/>
        </w:rPr>
        <w:t>בעיית נציג נוספת בה מטפלים דיני התאגידים היא, כאמור, בעיית הנציג שבין רוב בעלי המניות או בעל שליטה ובין מיעוט בעלי המניות והחברה עצמה. המקור של בעיה זו, גם הוא, בכך שעצם שליטתו של בעל השליטה בחברה מאפשרת לו "</w:t>
      </w:r>
      <w:r w:rsidRPr="00435653">
        <w:rPr>
          <w:rFonts w:ascii="Century" w:hAnsi="Century" w:cs="Miriam" w:hint="cs"/>
          <w:b/>
          <w:spacing w:val="0"/>
          <w:sz w:val="22"/>
          <w:szCs w:val="24"/>
          <w:rtl/>
        </w:rPr>
        <w:t>להשפיע לא רק על נכסיו שלו, אלא גם על עושרם של אחרים, ובפרט על בעלי מניות המיעוט</w:t>
      </w:r>
      <w:r w:rsidRPr="00435653">
        <w:rPr>
          <w:rFonts w:hint="cs"/>
          <w:rtl/>
        </w:rPr>
        <w:t>" (</w:t>
      </w:r>
      <w:r w:rsidRPr="00435653">
        <w:rPr>
          <w:rFonts w:hint="eastAsia"/>
          <w:rtl/>
        </w:rPr>
        <w:t>עופר</w:t>
      </w:r>
      <w:r w:rsidRPr="00435653">
        <w:rPr>
          <w:rtl/>
        </w:rPr>
        <w:t xml:space="preserve"> </w:t>
      </w:r>
      <w:proofErr w:type="spellStart"/>
      <w:r w:rsidRPr="00435653">
        <w:rPr>
          <w:rFonts w:hint="eastAsia"/>
          <w:rtl/>
        </w:rPr>
        <w:t>גרוסקופף</w:t>
      </w:r>
      <w:proofErr w:type="spellEnd"/>
      <w:r w:rsidRPr="00435653">
        <w:rPr>
          <w:rtl/>
        </w:rPr>
        <w:t xml:space="preserve"> </w:t>
      </w:r>
      <w:r w:rsidRPr="00435653">
        <w:rPr>
          <w:rFonts w:hint="eastAsia"/>
          <w:rtl/>
        </w:rPr>
        <w:t>ויפעת</w:t>
      </w:r>
      <w:r w:rsidRPr="00435653">
        <w:rPr>
          <w:rtl/>
        </w:rPr>
        <w:t xml:space="preserve"> </w:t>
      </w:r>
      <w:r w:rsidRPr="00435653">
        <w:rPr>
          <w:rFonts w:hint="eastAsia"/>
          <w:rtl/>
        </w:rPr>
        <w:t>נפתלי</w:t>
      </w:r>
      <w:r w:rsidRPr="00435653">
        <w:rPr>
          <w:rtl/>
        </w:rPr>
        <w:t xml:space="preserve"> </w:t>
      </w:r>
      <w:r w:rsidRPr="00435653">
        <w:rPr>
          <w:rFonts w:hint="eastAsia"/>
          <w:rtl/>
        </w:rPr>
        <w:t>בן</w:t>
      </w:r>
      <w:r w:rsidRPr="00435653">
        <w:rPr>
          <w:rtl/>
        </w:rPr>
        <w:t xml:space="preserve"> </w:t>
      </w:r>
      <w:r w:rsidRPr="00435653">
        <w:rPr>
          <w:rFonts w:hint="eastAsia"/>
          <w:rtl/>
        </w:rPr>
        <w:t>ציון</w:t>
      </w:r>
      <w:r w:rsidRPr="00435653">
        <w:rPr>
          <w:rtl/>
        </w:rPr>
        <w:t xml:space="preserve"> "'</w:t>
      </w:r>
      <w:r w:rsidRPr="00435653">
        <w:rPr>
          <w:rFonts w:hint="eastAsia"/>
          <w:rtl/>
        </w:rPr>
        <w:t>תפשת</w:t>
      </w:r>
      <w:r w:rsidRPr="00435653">
        <w:rPr>
          <w:rtl/>
        </w:rPr>
        <w:t xml:space="preserve"> </w:t>
      </w:r>
      <w:r w:rsidRPr="00435653">
        <w:rPr>
          <w:rFonts w:hint="eastAsia"/>
          <w:rtl/>
        </w:rPr>
        <w:t>מרובה</w:t>
      </w:r>
      <w:r w:rsidRPr="00435653">
        <w:rPr>
          <w:rtl/>
        </w:rPr>
        <w:t xml:space="preserve"> </w:t>
      </w:r>
      <w:r w:rsidRPr="00435653">
        <w:rPr>
          <w:rFonts w:hint="eastAsia"/>
          <w:rtl/>
        </w:rPr>
        <w:t>לא</w:t>
      </w:r>
      <w:r w:rsidRPr="00435653">
        <w:rPr>
          <w:rtl/>
        </w:rPr>
        <w:t xml:space="preserve"> </w:t>
      </w:r>
      <w:r w:rsidRPr="00435653">
        <w:rPr>
          <w:rFonts w:hint="eastAsia"/>
          <w:rtl/>
        </w:rPr>
        <w:t>תפשת</w:t>
      </w:r>
      <w:r w:rsidRPr="00435653">
        <w:rPr>
          <w:rtl/>
        </w:rPr>
        <w:t xml:space="preserve">', </w:t>
      </w:r>
      <w:r w:rsidRPr="00435653">
        <w:rPr>
          <w:rFonts w:hint="eastAsia"/>
          <w:rtl/>
        </w:rPr>
        <w:t>האומנם</w:t>
      </w:r>
      <w:r w:rsidRPr="00435653">
        <w:rPr>
          <w:rtl/>
        </w:rPr>
        <w:t xml:space="preserve">? </w:t>
      </w:r>
      <w:r w:rsidRPr="00435653">
        <w:rPr>
          <w:rFonts w:hint="eastAsia"/>
          <w:rtl/>
        </w:rPr>
        <w:t>על</w:t>
      </w:r>
      <w:r w:rsidRPr="00435653">
        <w:rPr>
          <w:rtl/>
        </w:rPr>
        <w:t xml:space="preserve"> </w:t>
      </w:r>
      <w:r w:rsidRPr="00435653">
        <w:rPr>
          <w:rFonts w:hint="eastAsia"/>
          <w:rtl/>
        </w:rPr>
        <w:t>נורמות</w:t>
      </w:r>
      <w:r w:rsidRPr="00435653">
        <w:rPr>
          <w:rtl/>
        </w:rPr>
        <w:t xml:space="preserve"> </w:t>
      </w:r>
      <w:r w:rsidRPr="00435653">
        <w:rPr>
          <w:rFonts w:hint="eastAsia"/>
          <w:rtl/>
        </w:rPr>
        <w:t>התנהגות</w:t>
      </w:r>
      <w:r w:rsidRPr="00435653">
        <w:rPr>
          <w:rtl/>
        </w:rPr>
        <w:t xml:space="preserve">, </w:t>
      </w:r>
      <w:r w:rsidRPr="00435653">
        <w:rPr>
          <w:rFonts w:hint="eastAsia"/>
          <w:rtl/>
        </w:rPr>
        <w:t>מנגנונים</w:t>
      </w:r>
      <w:r w:rsidRPr="00435653">
        <w:rPr>
          <w:rtl/>
        </w:rPr>
        <w:t xml:space="preserve"> </w:t>
      </w:r>
      <w:r w:rsidRPr="00435653">
        <w:rPr>
          <w:rFonts w:hint="eastAsia"/>
          <w:rtl/>
        </w:rPr>
        <w:t>פרוצדורליים</w:t>
      </w:r>
      <w:r w:rsidRPr="00435653">
        <w:rPr>
          <w:rtl/>
        </w:rPr>
        <w:t xml:space="preserve"> </w:t>
      </w:r>
      <w:r w:rsidRPr="00435653">
        <w:rPr>
          <w:rFonts w:hint="eastAsia"/>
          <w:rtl/>
        </w:rPr>
        <w:t>וביקורת</w:t>
      </w:r>
      <w:r w:rsidRPr="00435653">
        <w:rPr>
          <w:rtl/>
        </w:rPr>
        <w:t xml:space="preserve"> </w:t>
      </w:r>
      <w:r w:rsidRPr="00435653">
        <w:rPr>
          <w:rFonts w:hint="eastAsia"/>
          <w:rtl/>
        </w:rPr>
        <w:t>שיפוטית</w:t>
      </w:r>
      <w:r w:rsidRPr="00435653">
        <w:rPr>
          <w:rtl/>
        </w:rPr>
        <w:t xml:space="preserve"> </w:t>
      </w:r>
      <w:r w:rsidRPr="00435653">
        <w:rPr>
          <w:rFonts w:hint="eastAsia"/>
          <w:rtl/>
        </w:rPr>
        <w:t>בדיני</w:t>
      </w:r>
      <w:r w:rsidRPr="00435653">
        <w:rPr>
          <w:rtl/>
        </w:rPr>
        <w:t xml:space="preserve"> </w:t>
      </w:r>
      <w:r w:rsidRPr="00435653">
        <w:rPr>
          <w:rFonts w:hint="eastAsia"/>
          <w:rtl/>
        </w:rPr>
        <w:t>התאגידים</w:t>
      </w:r>
      <w:r w:rsidRPr="00435653">
        <w:rPr>
          <w:rtl/>
        </w:rPr>
        <w:t xml:space="preserve">" </w:t>
      </w:r>
      <w:r w:rsidRPr="00435653">
        <w:rPr>
          <w:rFonts w:ascii="Century" w:hAnsi="Century" w:cs="Miriam" w:hint="eastAsia"/>
          <w:b/>
          <w:spacing w:val="0"/>
          <w:szCs w:val="24"/>
          <w:rtl/>
        </w:rPr>
        <w:t>ספר</w:t>
      </w:r>
      <w:r w:rsidRPr="00435653">
        <w:rPr>
          <w:rFonts w:ascii="Century" w:hAnsi="Century" w:cs="Miriam"/>
          <w:b/>
          <w:spacing w:val="0"/>
          <w:szCs w:val="24"/>
          <w:rtl/>
        </w:rPr>
        <w:t xml:space="preserve"> </w:t>
      </w:r>
      <w:r w:rsidRPr="00435653">
        <w:rPr>
          <w:rFonts w:ascii="Century" w:hAnsi="Century" w:cs="Miriam" w:hint="eastAsia"/>
          <w:b/>
          <w:spacing w:val="0"/>
          <w:szCs w:val="24"/>
          <w:rtl/>
        </w:rPr>
        <w:t>יורם</w:t>
      </w:r>
      <w:r w:rsidRPr="00435653">
        <w:rPr>
          <w:rFonts w:ascii="Century" w:hAnsi="Century" w:cs="Miriam"/>
          <w:b/>
          <w:spacing w:val="0"/>
          <w:szCs w:val="24"/>
          <w:rtl/>
        </w:rPr>
        <w:t xml:space="preserve"> </w:t>
      </w:r>
      <w:proofErr w:type="spellStart"/>
      <w:r w:rsidRPr="00435653">
        <w:rPr>
          <w:rFonts w:ascii="Century" w:hAnsi="Century" w:cs="Miriam" w:hint="eastAsia"/>
          <w:b/>
          <w:spacing w:val="0"/>
          <w:szCs w:val="24"/>
          <w:rtl/>
        </w:rPr>
        <w:t>דנציגר</w:t>
      </w:r>
      <w:proofErr w:type="spellEnd"/>
      <w:r w:rsidRPr="00435653">
        <w:rPr>
          <w:rtl/>
        </w:rPr>
        <w:t xml:space="preserve"> 133,</w:t>
      </w:r>
      <w:r w:rsidRPr="00435653">
        <w:rPr>
          <w:rFonts w:hint="cs"/>
          <w:rtl/>
        </w:rPr>
        <w:t xml:space="preserve"> 142 </w:t>
      </w:r>
      <w:r w:rsidRPr="00435653">
        <w:rPr>
          <w:rtl/>
        </w:rPr>
        <w:t>(</w:t>
      </w:r>
      <w:r w:rsidRPr="00435653">
        <w:rPr>
          <w:rFonts w:hint="eastAsia"/>
          <w:rtl/>
        </w:rPr>
        <w:t>לימור</w:t>
      </w:r>
      <w:r w:rsidRPr="00435653">
        <w:rPr>
          <w:rtl/>
        </w:rPr>
        <w:t xml:space="preserve"> </w:t>
      </w:r>
      <w:r w:rsidRPr="00435653">
        <w:rPr>
          <w:rFonts w:hint="eastAsia"/>
          <w:rtl/>
        </w:rPr>
        <w:t>זר</w:t>
      </w:r>
      <w:r w:rsidRPr="00435653">
        <w:rPr>
          <w:rtl/>
        </w:rPr>
        <w:t>-</w:t>
      </w:r>
      <w:r w:rsidRPr="00435653">
        <w:rPr>
          <w:rFonts w:hint="eastAsia"/>
          <w:rtl/>
        </w:rPr>
        <w:t>גוטמן</w:t>
      </w:r>
      <w:r w:rsidRPr="00435653">
        <w:rPr>
          <w:rtl/>
        </w:rPr>
        <w:t xml:space="preserve"> </w:t>
      </w:r>
      <w:r w:rsidRPr="00435653">
        <w:rPr>
          <w:rFonts w:hint="eastAsia"/>
          <w:rtl/>
        </w:rPr>
        <w:t>ועידו</w:t>
      </w:r>
      <w:r w:rsidRPr="00435653">
        <w:rPr>
          <w:rtl/>
        </w:rPr>
        <w:t xml:space="preserve"> </w:t>
      </w:r>
      <w:r w:rsidRPr="00435653">
        <w:rPr>
          <w:rFonts w:hint="eastAsia"/>
          <w:rtl/>
        </w:rPr>
        <w:t>באום</w:t>
      </w:r>
      <w:r w:rsidRPr="00435653">
        <w:rPr>
          <w:rtl/>
        </w:rPr>
        <w:t xml:space="preserve"> </w:t>
      </w:r>
      <w:r w:rsidRPr="00435653">
        <w:rPr>
          <w:rFonts w:hint="eastAsia"/>
          <w:rtl/>
        </w:rPr>
        <w:t>עורכים</w:t>
      </w:r>
      <w:r w:rsidRPr="00435653">
        <w:rPr>
          <w:rFonts w:hint="cs"/>
          <w:rtl/>
        </w:rPr>
        <w:t>, 2019</w:t>
      </w:r>
      <w:r w:rsidRPr="00435653">
        <w:rPr>
          <w:rtl/>
        </w:rPr>
        <w:t>)</w:t>
      </w:r>
      <w:r w:rsidRPr="00435653">
        <w:rPr>
          <w:rFonts w:hint="cs"/>
          <w:rtl/>
        </w:rPr>
        <w:t xml:space="preserve"> </w:t>
      </w:r>
      <w:r w:rsidRPr="00435653">
        <w:rPr>
          <w:rtl/>
        </w:rPr>
        <w:t>(</w:t>
      </w:r>
      <w:r w:rsidRPr="00435653">
        <w:rPr>
          <w:rFonts w:hint="eastAsia"/>
          <w:rtl/>
        </w:rPr>
        <w:t>להלן</w:t>
      </w:r>
      <w:r w:rsidRPr="00435653">
        <w:rPr>
          <w:rtl/>
        </w:rPr>
        <w:t xml:space="preserve">: </w:t>
      </w:r>
      <w:proofErr w:type="spellStart"/>
      <w:r w:rsidRPr="00435653">
        <w:rPr>
          <w:rFonts w:ascii="Century" w:hAnsi="Century" w:cs="Miriam" w:hint="cs"/>
          <w:b/>
          <w:spacing w:val="0"/>
          <w:sz w:val="22"/>
          <w:szCs w:val="24"/>
          <w:rtl/>
        </w:rPr>
        <w:t>גרוסקופף</w:t>
      </w:r>
      <w:proofErr w:type="spellEnd"/>
      <w:r w:rsidRPr="00435653">
        <w:rPr>
          <w:rFonts w:ascii="Century" w:hAnsi="Century" w:cs="Miriam" w:hint="cs"/>
          <w:b/>
          <w:spacing w:val="0"/>
          <w:sz w:val="22"/>
          <w:szCs w:val="24"/>
          <w:rtl/>
        </w:rPr>
        <w:t xml:space="preserve"> ובן-ציון</w:t>
      </w:r>
      <w:r w:rsidRPr="00435653">
        <w:rPr>
          <w:rFonts w:ascii="Century" w:hAnsi="Century" w:hint="cs"/>
          <w:sz w:val="22"/>
          <w:rtl/>
        </w:rPr>
        <w:t xml:space="preserve">)), תוך ניצול השליטה לטובת הפקת טובות הנאה אישיות, בניגוד לטובת החברה ולטובתם של מיעוט בעלי המניות (אילן בלום, שרון </w:t>
      </w:r>
      <w:proofErr w:type="spellStart"/>
      <w:r w:rsidRPr="00435653">
        <w:rPr>
          <w:rFonts w:ascii="Century" w:hAnsi="Century" w:hint="cs"/>
          <w:sz w:val="22"/>
          <w:rtl/>
        </w:rPr>
        <w:t>חנס</w:t>
      </w:r>
      <w:proofErr w:type="spellEnd"/>
      <w:r w:rsidRPr="00435653">
        <w:rPr>
          <w:rFonts w:ascii="Century" w:hAnsi="Century" w:hint="cs"/>
          <w:sz w:val="22"/>
          <w:rtl/>
        </w:rPr>
        <w:t xml:space="preserve">, רויטל יוסף ובני </w:t>
      </w:r>
      <w:proofErr w:type="spellStart"/>
      <w:r w:rsidRPr="00435653">
        <w:rPr>
          <w:rFonts w:ascii="Century" w:hAnsi="Century" w:hint="cs"/>
          <w:sz w:val="22"/>
          <w:rtl/>
        </w:rPr>
        <w:t>לאוטרבך</w:t>
      </w:r>
      <w:proofErr w:type="spellEnd"/>
      <w:r w:rsidRPr="00435653">
        <w:rPr>
          <w:rFonts w:ascii="Century" w:hAnsi="Century" w:hint="cs"/>
          <w:sz w:val="22"/>
          <w:rtl/>
        </w:rPr>
        <w:t xml:space="preserve"> "</w:t>
      </w:r>
      <w:proofErr w:type="spellStart"/>
      <w:r w:rsidRPr="00435653">
        <w:rPr>
          <w:rFonts w:ascii="Century" w:hAnsi="Century" w:hint="cs"/>
          <w:sz w:val="22"/>
          <w:rtl/>
        </w:rPr>
        <w:t>שווייה</w:t>
      </w:r>
      <w:proofErr w:type="spellEnd"/>
      <w:r w:rsidRPr="00435653">
        <w:rPr>
          <w:rFonts w:ascii="Century" w:hAnsi="Century" w:hint="cs"/>
          <w:sz w:val="22"/>
          <w:rtl/>
        </w:rPr>
        <w:t xml:space="preserve"> של שליטה בחברה ציבורית בעקבות רפורמות מקיפות בממשל התאגידי הישראלי" </w:t>
      </w:r>
      <w:r w:rsidRPr="00435653">
        <w:rPr>
          <w:rFonts w:ascii="Century" w:hAnsi="Century" w:cs="Miriam" w:hint="cs"/>
          <w:b/>
          <w:spacing w:val="0"/>
          <w:sz w:val="22"/>
          <w:szCs w:val="24"/>
          <w:rtl/>
        </w:rPr>
        <w:t>עיוני משפט</w:t>
      </w:r>
      <w:r w:rsidRPr="00435653">
        <w:rPr>
          <w:rFonts w:ascii="Century" w:hAnsi="Century" w:hint="cs"/>
          <w:sz w:val="22"/>
          <w:rtl/>
        </w:rPr>
        <w:t xml:space="preserve"> נ"א 769, 770 (2022)).</w:t>
      </w:r>
    </w:p>
    <w:p w:rsidR="00433434" w:rsidRPr="00435653" w:rsidRDefault="00433434" w:rsidP="00433434">
      <w:pPr>
        <w:pStyle w:val="Ruller4"/>
        <w:spacing w:before="240" w:after="240"/>
      </w:pPr>
      <w:r w:rsidRPr="00435653">
        <w:rPr>
          <w:rFonts w:ascii="Century" w:hAnsi="Century" w:hint="cs"/>
          <w:sz w:val="22"/>
          <w:rtl/>
        </w:rPr>
        <w:t xml:space="preserve">לצד האיסור על קיפוח בעל מניה אחר, המוטל על כל בעל מניה, החובה המרכזית המוטלת על בעל שליטה היא </w:t>
      </w:r>
      <w:r w:rsidRPr="00435653">
        <w:rPr>
          <w:rFonts w:ascii="Century" w:hAnsi="Century" w:cs="Miriam" w:hint="cs"/>
          <w:b/>
          <w:spacing w:val="0"/>
          <w:sz w:val="22"/>
          <w:szCs w:val="24"/>
          <w:rtl/>
        </w:rPr>
        <w:t>חובת ההגינות</w:t>
      </w:r>
      <w:r w:rsidRPr="00435653">
        <w:rPr>
          <w:rFonts w:ascii="Century" w:hAnsi="Century" w:hint="cs"/>
          <w:sz w:val="22"/>
          <w:rtl/>
        </w:rPr>
        <w:t xml:space="preserve"> </w:t>
      </w:r>
      <w:r w:rsidRPr="00435653">
        <w:rPr>
          <w:rFonts w:hint="cs"/>
          <w:rtl/>
        </w:rPr>
        <w:t xml:space="preserve">אותה הוא חב כלפי </w:t>
      </w:r>
      <w:r w:rsidRPr="00435653">
        <w:rPr>
          <w:rFonts w:ascii="Century" w:hAnsi="Century" w:cs="Miriam" w:hint="cs"/>
          <w:b/>
          <w:spacing w:val="0"/>
          <w:sz w:val="22"/>
          <w:szCs w:val="24"/>
          <w:rtl/>
        </w:rPr>
        <w:t>החברה</w:t>
      </w:r>
      <w:r w:rsidRPr="00435653">
        <w:rPr>
          <w:rFonts w:hint="cs"/>
          <w:rtl/>
        </w:rPr>
        <w:t xml:space="preserve">, ואשר אומצה באופן מפורש בסעיף 193 לחוק החברות (השוו לדין החל </w:t>
      </w:r>
      <w:proofErr w:type="spellStart"/>
      <w:r w:rsidRPr="00435653">
        <w:rPr>
          <w:rFonts w:hint="cs"/>
          <w:rtl/>
        </w:rPr>
        <w:t>בדלאוור</w:t>
      </w:r>
      <w:proofErr w:type="spellEnd"/>
      <w:r w:rsidRPr="00435653">
        <w:rPr>
          <w:rFonts w:hint="cs"/>
          <w:rtl/>
        </w:rPr>
        <w:t xml:space="preserve">, המטיל על בעל שליטה </w:t>
      </w:r>
      <w:r w:rsidRPr="00435653">
        <w:rPr>
          <w:rFonts w:ascii="Century" w:hAnsi="Century" w:cs="Miriam" w:hint="cs"/>
          <w:b/>
          <w:spacing w:val="0"/>
          <w:sz w:val="22"/>
          <w:szCs w:val="24"/>
          <w:rtl/>
        </w:rPr>
        <w:t>חובת אמונים</w:t>
      </w:r>
      <w:r w:rsidRPr="00435653">
        <w:rPr>
          <w:rFonts w:hint="cs"/>
          <w:rtl/>
        </w:rPr>
        <w:t xml:space="preserve"> כלפי החברה; ראו למשל: עניין </w:t>
      </w:r>
      <w:r w:rsidRPr="00435653">
        <w:rPr>
          <w:rFonts w:ascii="Century" w:hAnsi="Century" w:cs="Miriam"/>
          <w:bCs/>
          <w:spacing w:val="0"/>
          <w:sz w:val="22"/>
          <w:szCs w:val="24"/>
        </w:rPr>
        <w:t>Musk</w:t>
      </w:r>
      <w:r w:rsidRPr="00435653">
        <w:rPr>
          <w:rFonts w:hint="cs"/>
          <w:rtl/>
        </w:rPr>
        <w:t>, בעמודים 105-104, והאסמכתאות שם</w:t>
      </w:r>
      <w:r w:rsidRPr="00435653">
        <w:rPr>
          <w:rFonts w:ascii="Century" w:hAnsi="Century" w:hint="cs"/>
          <w:sz w:val="22"/>
          <w:rtl/>
        </w:rPr>
        <w:t>). חובתו זו נועדה אף היא להתמודד עם העובדה, שכאמור, עצם השליטה בחברה מאפשרת לבעל השליטה להשפיע על נכסי הזולת (</w:t>
      </w:r>
      <w:proofErr w:type="spellStart"/>
      <w:r w:rsidRPr="00435653">
        <w:rPr>
          <w:rFonts w:ascii="Century" w:hAnsi="Century" w:cs="Miriam" w:hint="cs"/>
          <w:b/>
          <w:spacing w:val="0"/>
          <w:sz w:val="22"/>
          <w:szCs w:val="24"/>
          <w:rtl/>
        </w:rPr>
        <w:t>גרוסקופף</w:t>
      </w:r>
      <w:proofErr w:type="spellEnd"/>
      <w:r w:rsidRPr="00435653">
        <w:rPr>
          <w:rFonts w:ascii="Century" w:hAnsi="Century" w:cs="Miriam" w:hint="cs"/>
          <w:b/>
          <w:spacing w:val="0"/>
          <w:sz w:val="22"/>
          <w:szCs w:val="24"/>
          <w:rtl/>
        </w:rPr>
        <w:t xml:space="preserve"> ובן-ציון</w:t>
      </w:r>
      <w:r w:rsidRPr="00435653">
        <w:rPr>
          <w:rFonts w:ascii="Century" w:hAnsi="Century" w:hint="cs"/>
          <w:sz w:val="22"/>
          <w:rtl/>
        </w:rPr>
        <w:t xml:space="preserve">, בעמוד 142). </w:t>
      </w:r>
    </w:p>
    <w:p w:rsidR="00433434" w:rsidRPr="00435653" w:rsidRDefault="00433434" w:rsidP="00433434">
      <w:pPr>
        <w:pStyle w:val="Ruller4"/>
        <w:spacing w:before="240" w:after="240"/>
        <w:rPr>
          <w:rFonts w:ascii="Century" w:hAnsi="Century"/>
          <w:sz w:val="22"/>
          <w:rtl/>
        </w:rPr>
      </w:pPr>
      <w:r w:rsidRPr="00435653">
        <w:rPr>
          <w:rFonts w:ascii="Century" w:hAnsi="Century" w:hint="cs"/>
          <w:sz w:val="22"/>
          <w:rtl/>
        </w:rPr>
        <w:t xml:space="preserve">עד כה, חובת ההגינות נדונה בפסיקה בעיקר על רקע החובות המוטלות על בעל השליטה בעת </w:t>
      </w:r>
      <w:r w:rsidRPr="00435653">
        <w:rPr>
          <w:rFonts w:ascii="Century" w:hAnsi="Century" w:cs="Miriam" w:hint="cs"/>
          <w:b/>
          <w:spacing w:val="0"/>
          <w:sz w:val="22"/>
          <w:szCs w:val="24"/>
          <w:rtl/>
        </w:rPr>
        <w:t>מכירת שליטה</w:t>
      </w:r>
      <w:r w:rsidRPr="00435653">
        <w:rPr>
          <w:rFonts w:ascii="Century" w:hAnsi="Century" w:hint="cs"/>
          <w:sz w:val="22"/>
          <w:rtl/>
        </w:rPr>
        <w:t xml:space="preserve">, להבדיל </w:t>
      </w:r>
      <w:r w:rsidRPr="00435653">
        <w:rPr>
          <w:rFonts w:ascii="Century" w:hAnsi="Century" w:cs="Miriam" w:hint="cs"/>
          <w:b/>
          <w:spacing w:val="0"/>
          <w:sz w:val="22"/>
          <w:szCs w:val="24"/>
          <w:rtl/>
        </w:rPr>
        <w:t>מהפעלת שליטה</w:t>
      </w:r>
      <w:r w:rsidRPr="00435653">
        <w:rPr>
          <w:rFonts w:ascii="Century" w:hAnsi="Century" w:hint="cs"/>
          <w:sz w:val="22"/>
          <w:rtl/>
        </w:rPr>
        <w:t xml:space="preserve"> (ראו למשל: ע"א 817/79 </w:t>
      </w:r>
      <w:proofErr w:type="spellStart"/>
      <w:r w:rsidRPr="00435653">
        <w:rPr>
          <w:rFonts w:ascii="Century" w:hAnsi="Century" w:cs="Miriam" w:hint="cs"/>
          <w:b/>
          <w:spacing w:val="0"/>
          <w:sz w:val="22"/>
          <w:szCs w:val="24"/>
          <w:rtl/>
        </w:rPr>
        <w:t>קוסוי</w:t>
      </w:r>
      <w:proofErr w:type="spellEnd"/>
      <w:r w:rsidRPr="00435653">
        <w:rPr>
          <w:rFonts w:ascii="Century" w:hAnsi="Century" w:cs="Miriam" w:hint="cs"/>
          <w:b/>
          <w:spacing w:val="0"/>
          <w:sz w:val="22"/>
          <w:szCs w:val="24"/>
          <w:rtl/>
        </w:rPr>
        <w:t xml:space="preserve"> נ' </w:t>
      </w:r>
      <w:r w:rsidRPr="00435653">
        <w:rPr>
          <w:rFonts w:ascii="Century" w:hAnsi="Century" w:cs="Miriam" w:hint="cs"/>
          <w:b/>
          <w:spacing w:val="0"/>
          <w:sz w:val="22"/>
          <w:szCs w:val="24"/>
          <w:rtl/>
        </w:rPr>
        <w:lastRenderedPageBreak/>
        <w:t xml:space="preserve">בנק י.ל. </w:t>
      </w:r>
      <w:proofErr w:type="spellStart"/>
      <w:r w:rsidRPr="00435653">
        <w:rPr>
          <w:rFonts w:ascii="Century" w:hAnsi="Century" w:cs="Miriam" w:hint="cs"/>
          <w:b/>
          <w:spacing w:val="0"/>
          <w:sz w:val="22"/>
          <w:szCs w:val="24"/>
          <w:rtl/>
        </w:rPr>
        <w:t>פויכטונגר</w:t>
      </w:r>
      <w:proofErr w:type="spellEnd"/>
      <w:r w:rsidRPr="00435653">
        <w:rPr>
          <w:rFonts w:ascii="Century" w:hAnsi="Century" w:cs="Miriam" w:hint="cs"/>
          <w:b/>
          <w:spacing w:val="0"/>
          <w:sz w:val="22"/>
          <w:szCs w:val="24"/>
          <w:rtl/>
        </w:rPr>
        <w:t xml:space="preserve"> בע"מ</w:t>
      </w:r>
      <w:r w:rsidRPr="00435653">
        <w:rPr>
          <w:rFonts w:ascii="Century" w:hAnsi="Century" w:hint="cs"/>
          <w:sz w:val="22"/>
          <w:rtl/>
        </w:rPr>
        <w:t xml:space="preserve">, פ"ד לח(3) 253 (1984) </w:t>
      </w:r>
      <w:r w:rsidRPr="00435653">
        <w:rPr>
          <w:rFonts w:ascii="Century" w:hAnsi="Century"/>
          <w:sz w:val="22"/>
          <w:rtl/>
        </w:rPr>
        <w:t>(</w:t>
      </w:r>
      <w:r w:rsidRPr="00435653">
        <w:rPr>
          <w:rFonts w:ascii="Century" w:hAnsi="Century" w:hint="eastAsia"/>
          <w:sz w:val="22"/>
          <w:rtl/>
        </w:rPr>
        <w:t>להלן</w:t>
      </w:r>
      <w:r w:rsidRPr="00435653">
        <w:rPr>
          <w:rFonts w:ascii="Century" w:hAnsi="Century"/>
          <w:sz w:val="22"/>
          <w:rtl/>
        </w:rPr>
        <w:t xml:space="preserve">: </w:t>
      </w:r>
      <w:r w:rsidRPr="00435653">
        <w:rPr>
          <w:rFonts w:ascii="Century" w:hAnsi="Century" w:cs="Miriam" w:hint="cs"/>
          <w:b/>
          <w:spacing w:val="0"/>
          <w:sz w:val="22"/>
          <w:szCs w:val="24"/>
          <w:rtl/>
        </w:rPr>
        <w:t xml:space="preserve">עניין </w:t>
      </w:r>
      <w:proofErr w:type="spellStart"/>
      <w:r w:rsidRPr="00435653">
        <w:rPr>
          <w:rFonts w:ascii="Century" w:hAnsi="Century" w:cs="Miriam" w:hint="cs"/>
          <w:b/>
          <w:spacing w:val="0"/>
          <w:sz w:val="22"/>
          <w:szCs w:val="24"/>
          <w:rtl/>
        </w:rPr>
        <w:t>קוסוי</w:t>
      </w:r>
      <w:proofErr w:type="spellEnd"/>
      <w:r w:rsidRPr="00435653">
        <w:rPr>
          <w:rFonts w:ascii="Century" w:hAnsi="Century" w:hint="cs"/>
          <w:sz w:val="22"/>
          <w:rtl/>
        </w:rPr>
        <w:t xml:space="preserve">); ע"א 7657/17 </w:t>
      </w:r>
      <w:r w:rsidRPr="00435653">
        <w:rPr>
          <w:rFonts w:ascii="Century" w:hAnsi="Century" w:cs="Miriam" w:hint="cs"/>
          <w:b/>
          <w:spacing w:val="0"/>
          <w:sz w:val="22"/>
          <w:szCs w:val="24"/>
          <w:rtl/>
        </w:rPr>
        <w:t xml:space="preserve">רו"ח חן </w:t>
      </w:r>
      <w:proofErr w:type="spellStart"/>
      <w:r w:rsidRPr="00435653">
        <w:rPr>
          <w:rFonts w:ascii="Century" w:hAnsi="Century" w:cs="Miriam" w:hint="cs"/>
          <w:b/>
          <w:spacing w:val="0"/>
          <w:sz w:val="22"/>
          <w:szCs w:val="24"/>
          <w:rtl/>
        </w:rPr>
        <w:t>ברדיצ'ב</w:t>
      </w:r>
      <w:proofErr w:type="spellEnd"/>
      <w:r w:rsidRPr="00435653">
        <w:rPr>
          <w:rFonts w:ascii="Century" w:hAnsi="Century" w:cs="Miriam" w:hint="cs"/>
          <w:b/>
          <w:spacing w:val="0"/>
          <w:sz w:val="22"/>
          <w:szCs w:val="24"/>
          <w:rtl/>
        </w:rPr>
        <w:t xml:space="preserve"> בתפקידו כנאמן על הסדר הנושים של </w:t>
      </w:r>
      <w:proofErr w:type="spellStart"/>
      <w:r w:rsidRPr="00435653">
        <w:rPr>
          <w:rFonts w:ascii="Century" w:hAnsi="Century" w:cs="Miriam" w:hint="cs"/>
          <w:b/>
          <w:spacing w:val="0"/>
          <w:sz w:val="22"/>
          <w:szCs w:val="24"/>
          <w:rtl/>
        </w:rPr>
        <w:t>פויכטונגר</w:t>
      </w:r>
      <w:proofErr w:type="spellEnd"/>
      <w:r w:rsidRPr="00435653">
        <w:rPr>
          <w:rFonts w:ascii="Century" w:hAnsi="Century" w:cs="Miriam" w:hint="cs"/>
          <w:b/>
          <w:spacing w:val="0"/>
          <w:sz w:val="22"/>
          <w:szCs w:val="24"/>
          <w:rtl/>
        </w:rPr>
        <w:t xml:space="preserve"> תעשיות בע"מ נ' </w:t>
      </w:r>
      <w:proofErr w:type="spellStart"/>
      <w:r w:rsidRPr="00435653">
        <w:rPr>
          <w:rFonts w:ascii="Century" w:hAnsi="Century" w:cs="Miriam" w:hint="cs"/>
          <w:b/>
          <w:spacing w:val="0"/>
          <w:sz w:val="22"/>
          <w:szCs w:val="24"/>
          <w:rtl/>
        </w:rPr>
        <w:t>פויכטונגר</w:t>
      </w:r>
      <w:proofErr w:type="spellEnd"/>
      <w:r w:rsidRPr="00435653">
        <w:rPr>
          <w:rFonts w:ascii="Century" w:hAnsi="Century" w:hint="cs"/>
          <w:sz w:val="22"/>
          <w:rtl/>
        </w:rPr>
        <w:t xml:space="preserve"> (18.06.2020) </w:t>
      </w:r>
      <w:r w:rsidRPr="00435653">
        <w:rPr>
          <w:rFonts w:ascii="Century" w:hAnsi="Century"/>
          <w:sz w:val="22"/>
          <w:rtl/>
        </w:rPr>
        <w:t>(</w:t>
      </w:r>
      <w:r w:rsidRPr="00435653">
        <w:rPr>
          <w:rFonts w:ascii="Century" w:hAnsi="Century" w:hint="eastAsia"/>
          <w:sz w:val="22"/>
          <w:rtl/>
        </w:rPr>
        <w:t>להלן</w:t>
      </w:r>
      <w:r w:rsidRPr="00435653">
        <w:rPr>
          <w:rFonts w:ascii="Century" w:hAnsi="Century"/>
          <w:sz w:val="22"/>
          <w:rtl/>
        </w:rPr>
        <w:t xml:space="preserve">: </w:t>
      </w:r>
      <w:r w:rsidRPr="00435653">
        <w:rPr>
          <w:rFonts w:ascii="Century" w:hAnsi="Century" w:cs="Miriam" w:hint="cs"/>
          <w:b/>
          <w:spacing w:val="0"/>
          <w:sz w:val="22"/>
          <w:szCs w:val="24"/>
          <w:rtl/>
        </w:rPr>
        <w:t xml:space="preserve">עניין </w:t>
      </w:r>
      <w:proofErr w:type="spellStart"/>
      <w:r w:rsidRPr="00435653">
        <w:rPr>
          <w:rFonts w:ascii="Century" w:hAnsi="Century" w:cs="Miriam" w:hint="cs"/>
          <w:b/>
          <w:spacing w:val="0"/>
          <w:sz w:val="22"/>
          <w:szCs w:val="24"/>
          <w:rtl/>
        </w:rPr>
        <w:t>ברדיצ'ב</w:t>
      </w:r>
      <w:proofErr w:type="spellEnd"/>
      <w:r w:rsidRPr="00435653">
        <w:rPr>
          <w:rFonts w:ascii="Century" w:hAnsi="Century" w:hint="cs"/>
          <w:sz w:val="22"/>
          <w:rtl/>
        </w:rPr>
        <w:t xml:space="preserve">)). </w:t>
      </w:r>
      <w:r w:rsidRPr="00435653">
        <w:rPr>
          <w:rFonts w:hint="cs"/>
          <w:rtl/>
        </w:rPr>
        <w:t xml:space="preserve">הנה כי כן, רוחב יריעתה של חובת ההגינות, כמו גם </w:t>
      </w:r>
      <w:proofErr w:type="spellStart"/>
      <w:r w:rsidRPr="00435653">
        <w:rPr>
          <w:rFonts w:hint="cs"/>
          <w:rtl/>
        </w:rPr>
        <w:t>נפקותה</w:t>
      </w:r>
      <w:proofErr w:type="spellEnd"/>
      <w:r w:rsidRPr="00435653">
        <w:rPr>
          <w:rFonts w:hint="cs"/>
          <w:rtl/>
        </w:rPr>
        <w:t xml:space="preserve"> המעשית, טרם לובנו עד תום</w:t>
      </w:r>
      <w:r w:rsidRPr="00435653">
        <w:rPr>
          <w:rFonts w:ascii="Century" w:hAnsi="Century" w:hint="cs"/>
          <w:sz w:val="22"/>
          <w:rtl/>
        </w:rPr>
        <w:t xml:space="preserve"> (ראו למשל: </w:t>
      </w:r>
      <w:proofErr w:type="spellStart"/>
      <w:r w:rsidRPr="00435653">
        <w:rPr>
          <w:rFonts w:ascii="Century" w:hAnsi="Century" w:cs="Miriam" w:hint="cs"/>
          <w:b/>
          <w:spacing w:val="0"/>
          <w:sz w:val="22"/>
          <w:szCs w:val="24"/>
          <w:rtl/>
        </w:rPr>
        <w:t>גרוסקופף</w:t>
      </w:r>
      <w:proofErr w:type="spellEnd"/>
      <w:r w:rsidRPr="00435653">
        <w:rPr>
          <w:rFonts w:ascii="Century" w:hAnsi="Century" w:cs="Miriam" w:hint="cs"/>
          <w:b/>
          <w:spacing w:val="0"/>
          <w:sz w:val="22"/>
          <w:szCs w:val="24"/>
          <w:rtl/>
        </w:rPr>
        <w:t xml:space="preserve"> ובן-ציון</w:t>
      </w:r>
      <w:r w:rsidRPr="00435653">
        <w:rPr>
          <w:rFonts w:ascii="Century" w:hAnsi="Century" w:hint="cs"/>
          <w:sz w:val="22"/>
          <w:rtl/>
        </w:rPr>
        <w:t xml:space="preserve">, בעמודים 143-142; </w:t>
      </w:r>
      <w:r w:rsidRPr="00435653">
        <w:rPr>
          <w:rFonts w:hint="cs"/>
          <w:rtl/>
        </w:rPr>
        <w:t xml:space="preserve">עניין </w:t>
      </w:r>
      <w:proofErr w:type="spellStart"/>
      <w:r w:rsidRPr="00435653">
        <w:rPr>
          <w:rFonts w:ascii="Century" w:hAnsi="Century" w:cs="Miriam" w:hint="cs"/>
          <w:b/>
          <w:spacing w:val="0"/>
          <w:sz w:val="22"/>
          <w:szCs w:val="24"/>
          <w:rtl/>
        </w:rPr>
        <w:t>ורדניקוב</w:t>
      </w:r>
      <w:proofErr w:type="spellEnd"/>
      <w:r w:rsidRPr="00435653">
        <w:rPr>
          <w:rFonts w:ascii="Century" w:hAnsi="Century" w:hint="cs"/>
          <w:sz w:val="22"/>
          <w:rtl/>
        </w:rPr>
        <w:t xml:space="preserve">, בפסקה 54). יחד עם זאת, ניתן לומר, בזהירות הנדרשת, כי חובת ההגינות היא חובה 'מוחלשת' בהשוואה לחובת האמונים (המוטלת על נושאי המשרה), אך חובה </w:t>
      </w:r>
      <w:r w:rsidRPr="00435653">
        <w:rPr>
          <w:rFonts w:ascii="Century" w:hAnsi="Century"/>
          <w:sz w:val="22"/>
          <w:rtl/>
        </w:rPr>
        <w:t>'</w:t>
      </w:r>
      <w:r w:rsidRPr="00435653">
        <w:rPr>
          <w:rFonts w:ascii="Century" w:hAnsi="Century" w:hint="eastAsia"/>
          <w:sz w:val="22"/>
          <w:rtl/>
        </w:rPr>
        <w:t>מוגברת</w:t>
      </w:r>
      <w:r w:rsidRPr="00435653">
        <w:rPr>
          <w:rFonts w:ascii="Century" w:hAnsi="Century"/>
          <w:sz w:val="22"/>
          <w:rtl/>
        </w:rPr>
        <w:t xml:space="preserve">' </w:t>
      </w:r>
      <w:r w:rsidRPr="00435653">
        <w:rPr>
          <w:rFonts w:ascii="Century" w:hAnsi="Century" w:hint="eastAsia"/>
          <w:sz w:val="22"/>
          <w:rtl/>
        </w:rPr>
        <w:t>בהשוואה</w:t>
      </w:r>
      <w:r w:rsidRPr="00435653">
        <w:rPr>
          <w:rFonts w:ascii="Century" w:hAnsi="Century"/>
          <w:sz w:val="22"/>
          <w:rtl/>
        </w:rPr>
        <w:t xml:space="preserve"> </w:t>
      </w:r>
      <w:r w:rsidRPr="00435653">
        <w:rPr>
          <w:rFonts w:ascii="Century" w:hAnsi="Century" w:hint="eastAsia"/>
          <w:sz w:val="22"/>
          <w:rtl/>
        </w:rPr>
        <w:t>לחובת</w:t>
      </w:r>
      <w:r w:rsidRPr="00435653">
        <w:rPr>
          <w:rFonts w:ascii="Century" w:hAnsi="Century"/>
          <w:sz w:val="22"/>
          <w:rtl/>
        </w:rPr>
        <w:t xml:space="preserve"> </w:t>
      </w:r>
      <w:r w:rsidRPr="00435653">
        <w:rPr>
          <w:rFonts w:ascii="Century" w:hAnsi="Century" w:hint="eastAsia"/>
          <w:sz w:val="22"/>
          <w:rtl/>
        </w:rPr>
        <w:t>תום</w:t>
      </w:r>
      <w:r w:rsidRPr="00435653">
        <w:rPr>
          <w:rFonts w:ascii="Century" w:hAnsi="Century"/>
          <w:sz w:val="22"/>
          <w:rtl/>
        </w:rPr>
        <w:t xml:space="preserve"> </w:t>
      </w:r>
      <w:r w:rsidRPr="00435653">
        <w:rPr>
          <w:rFonts w:ascii="Century" w:hAnsi="Century" w:hint="eastAsia"/>
          <w:sz w:val="22"/>
          <w:rtl/>
        </w:rPr>
        <w:t>הלב</w:t>
      </w:r>
      <w:r w:rsidRPr="00435653">
        <w:rPr>
          <w:rFonts w:ascii="Century" w:hAnsi="Century"/>
          <w:sz w:val="22"/>
          <w:rtl/>
        </w:rPr>
        <w:t xml:space="preserve"> (</w:t>
      </w:r>
      <w:r w:rsidRPr="00435653">
        <w:rPr>
          <w:rFonts w:ascii="Century" w:hAnsi="Century" w:hint="eastAsia"/>
          <w:sz w:val="22"/>
          <w:rtl/>
        </w:rPr>
        <w:t>המוטלת</w:t>
      </w:r>
      <w:r w:rsidRPr="00435653">
        <w:rPr>
          <w:rFonts w:ascii="Century" w:hAnsi="Century"/>
          <w:sz w:val="22"/>
          <w:rtl/>
        </w:rPr>
        <w:t xml:space="preserve"> </w:t>
      </w:r>
      <w:r w:rsidRPr="00435653">
        <w:rPr>
          <w:rFonts w:ascii="Century" w:hAnsi="Century" w:hint="eastAsia"/>
          <w:sz w:val="22"/>
          <w:rtl/>
        </w:rPr>
        <w:t>על</w:t>
      </w:r>
      <w:r w:rsidRPr="00435653">
        <w:rPr>
          <w:rFonts w:ascii="Century" w:hAnsi="Century"/>
          <w:sz w:val="22"/>
          <w:rtl/>
        </w:rPr>
        <w:t xml:space="preserve"> </w:t>
      </w:r>
      <w:r w:rsidRPr="00435653">
        <w:rPr>
          <w:rFonts w:ascii="Century" w:hAnsi="Century" w:hint="eastAsia"/>
          <w:sz w:val="22"/>
          <w:rtl/>
        </w:rPr>
        <w:t>כל</w:t>
      </w:r>
      <w:r w:rsidRPr="00435653">
        <w:rPr>
          <w:rFonts w:ascii="Century" w:hAnsi="Century"/>
          <w:sz w:val="22"/>
          <w:rtl/>
        </w:rPr>
        <w:t xml:space="preserve"> </w:t>
      </w:r>
      <w:r w:rsidRPr="00435653">
        <w:rPr>
          <w:rFonts w:ascii="Century" w:hAnsi="Century" w:hint="eastAsia"/>
          <w:sz w:val="22"/>
          <w:rtl/>
        </w:rPr>
        <w:t>בעל</w:t>
      </w:r>
      <w:r w:rsidRPr="00435653">
        <w:rPr>
          <w:rFonts w:ascii="Century" w:hAnsi="Century"/>
          <w:sz w:val="22"/>
          <w:rtl/>
        </w:rPr>
        <w:t xml:space="preserve"> </w:t>
      </w:r>
      <w:r w:rsidRPr="00435653">
        <w:rPr>
          <w:rFonts w:ascii="Century" w:hAnsi="Century" w:hint="eastAsia"/>
          <w:sz w:val="22"/>
          <w:rtl/>
        </w:rPr>
        <w:t>מניה</w:t>
      </w:r>
      <w:r w:rsidRPr="00435653">
        <w:rPr>
          <w:rFonts w:ascii="Century" w:hAnsi="Century"/>
          <w:sz w:val="22"/>
          <w:rtl/>
        </w:rPr>
        <w:t>) (</w:t>
      </w:r>
      <w:r w:rsidRPr="00435653">
        <w:rPr>
          <w:rFonts w:ascii="Century" w:hAnsi="Century" w:hint="eastAsia"/>
          <w:sz w:val="22"/>
          <w:rtl/>
        </w:rPr>
        <w:t>ראו</w:t>
      </w:r>
      <w:r w:rsidRPr="00435653">
        <w:rPr>
          <w:rFonts w:ascii="Century" w:hAnsi="Century"/>
          <w:sz w:val="22"/>
          <w:rtl/>
        </w:rPr>
        <w:t xml:space="preserve"> </w:t>
      </w:r>
      <w:r w:rsidRPr="00435653">
        <w:rPr>
          <w:rFonts w:ascii="Century" w:hAnsi="Century" w:hint="eastAsia"/>
          <w:sz w:val="22"/>
          <w:rtl/>
        </w:rPr>
        <w:t>למשל</w:t>
      </w:r>
      <w:r w:rsidRPr="00435653">
        <w:rPr>
          <w:rFonts w:ascii="Century" w:hAnsi="Century"/>
          <w:sz w:val="22"/>
          <w:rtl/>
        </w:rPr>
        <w:t xml:space="preserve">: </w:t>
      </w:r>
      <w:r w:rsidRPr="00435653">
        <w:rPr>
          <w:rFonts w:ascii="Century" w:hAnsi="Century" w:hint="eastAsia"/>
          <w:sz w:val="22"/>
          <w:rtl/>
        </w:rPr>
        <w:t>עניין</w:t>
      </w:r>
      <w:r w:rsidRPr="00435653">
        <w:rPr>
          <w:rFonts w:ascii="Century" w:hAnsi="Century"/>
          <w:sz w:val="22"/>
          <w:rtl/>
        </w:rPr>
        <w:t xml:space="preserve"> </w:t>
      </w:r>
      <w:proofErr w:type="spellStart"/>
      <w:r w:rsidRPr="00435653">
        <w:rPr>
          <w:rFonts w:ascii="Century" w:hAnsi="Century" w:cs="Miriam" w:hint="eastAsia"/>
          <w:b/>
          <w:spacing w:val="0"/>
          <w:sz w:val="22"/>
          <w:szCs w:val="24"/>
          <w:rtl/>
        </w:rPr>
        <w:t>ורדניקוב</w:t>
      </w:r>
      <w:proofErr w:type="spellEnd"/>
      <w:r w:rsidRPr="00435653">
        <w:rPr>
          <w:rFonts w:ascii="Century" w:hAnsi="Century"/>
          <w:sz w:val="22"/>
          <w:rtl/>
        </w:rPr>
        <w:t xml:space="preserve">, </w:t>
      </w:r>
      <w:r w:rsidRPr="00435653">
        <w:rPr>
          <w:rFonts w:ascii="Century" w:hAnsi="Century" w:hint="eastAsia"/>
          <w:sz w:val="22"/>
          <w:rtl/>
        </w:rPr>
        <w:t>בפסקה</w:t>
      </w:r>
      <w:r w:rsidRPr="00435653">
        <w:rPr>
          <w:rFonts w:ascii="Century" w:hAnsi="Century"/>
          <w:sz w:val="22"/>
          <w:rtl/>
        </w:rPr>
        <w:t xml:space="preserve"> 55, </w:t>
      </w:r>
      <w:r w:rsidRPr="00435653">
        <w:rPr>
          <w:rFonts w:ascii="Century" w:hAnsi="Century" w:hint="eastAsia"/>
          <w:sz w:val="22"/>
          <w:rtl/>
        </w:rPr>
        <w:t>והאסמכתאות</w:t>
      </w:r>
      <w:r w:rsidRPr="00435653">
        <w:rPr>
          <w:rFonts w:ascii="Century" w:hAnsi="Century"/>
          <w:sz w:val="22"/>
          <w:rtl/>
        </w:rPr>
        <w:t xml:space="preserve"> </w:t>
      </w:r>
      <w:r w:rsidRPr="00435653">
        <w:rPr>
          <w:rFonts w:ascii="Century" w:hAnsi="Century" w:hint="eastAsia"/>
          <w:sz w:val="22"/>
          <w:rtl/>
        </w:rPr>
        <w:t>שם</w:t>
      </w:r>
      <w:r w:rsidRPr="00435653">
        <w:rPr>
          <w:rFonts w:ascii="Century" w:hAnsi="Century"/>
          <w:sz w:val="22"/>
          <w:rtl/>
        </w:rPr>
        <w:t xml:space="preserve">; </w:t>
      </w:r>
      <w:r w:rsidRPr="00435653">
        <w:rPr>
          <w:rFonts w:ascii="Century" w:hAnsi="Century" w:hint="eastAsia"/>
          <w:sz w:val="22"/>
          <w:rtl/>
        </w:rPr>
        <w:t>להצגת</w:t>
      </w:r>
      <w:r w:rsidRPr="00435653">
        <w:rPr>
          <w:rFonts w:ascii="Century" w:hAnsi="Century"/>
          <w:sz w:val="22"/>
          <w:rtl/>
        </w:rPr>
        <w:t xml:space="preserve"> </w:t>
      </w:r>
      <w:r w:rsidRPr="00435653">
        <w:rPr>
          <w:rFonts w:ascii="Century" w:hAnsi="Century" w:hint="eastAsia"/>
          <w:sz w:val="22"/>
          <w:rtl/>
        </w:rPr>
        <w:t>הדברים</w:t>
      </w:r>
      <w:r w:rsidRPr="00435653">
        <w:rPr>
          <w:rFonts w:ascii="Century" w:hAnsi="Century"/>
          <w:sz w:val="22"/>
          <w:rtl/>
        </w:rPr>
        <w:t xml:space="preserve"> </w:t>
      </w:r>
      <w:r w:rsidRPr="00435653">
        <w:rPr>
          <w:rFonts w:ascii="Century" w:hAnsi="Century" w:hint="eastAsia"/>
          <w:sz w:val="22"/>
          <w:rtl/>
        </w:rPr>
        <w:t>באופן</w:t>
      </w:r>
      <w:r w:rsidRPr="00435653">
        <w:rPr>
          <w:rFonts w:ascii="Century" w:hAnsi="Century"/>
          <w:sz w:val="22"/>
          <w:rtl/>
        </w:rPr>
        <w:t xml:space="preserve"> </w:t>
      </w:r>
      <w:r w:rsidRPr="00435653">
        <w:rPr>
          <w:rFonts w:ascii="Century" w:hAnsi="Century" w:hint="eastAsia"/>
          <w:sz w:val="22"/>
          <w:rtl/>
        </w:rPr>
        <w:t>גרפי</w:t>
      </w:r>
      <w:r w:rsidRPr="00435653">
        <w:rPr>
          <w:rFonts w:ascii="Century" w:hAnsi="Century"/>
          <w:sz w:val="22"/>
          <w:rtl/>
        </w:rPr>
        <w:t xml:space="preserve">, </w:t>
      </w:r>
      <w:r w:rsidRPr="00435653">
        <w:rPr>
          <w:rFonts w:ascii="Century" w:hAnsi="Century" w:hint="eastAsia"/>
          <w:sz w:val="22"/>
          <w:rtl/>
        </w:rPr>
        <w:t>ראו</w:t>
      </w:r>
      <w:r w:rsidRPr="00435653">
        <w:rPr>
          <w:rFonts w:ascii="Century" w:hAnsi="Century"/>
          <w:sz w:val="22"/>
          <w:rtl/>
        </w:rPr>
        <w:t xml:space="preserve">: </w:t>
      </w:r>
      <w:proofErr w:type="spellStart"/>
      <w:r w:rsidRPr="00435653">
        <w:rPr>
          <w:rFonts w:ascii="Century" w:hAnsi="Century" w:cs="Miriam" w:hint="eastAsia"/>
          <w:b/>
          <w:spacing w:val="0"/>
          <w:sz w:val="22"/>
          <w:szCs w:val="24"/>
          <w:rtl/>
        </w:rPr>
        <w:t>גרוסקופף</w:t>
      </w:r>
      <w:proofErr w:type="spellEnd"/>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ובן</w:t>
      </w:r>
      <w:r w:rsidRPr="00435653">
        <w:rPr>
          <w:rFonts w:ascii="Century" w:hAnsi="Century" w:cs="Miriam"/>
          <w:b/>
          <w:spacing w:val="0"/>
          <w:sz w:val="22"/>
          <w:szCs w:val="24"/>
          <w:rtl/>
        </w:rPr>
        <w:t>-</w:t>
      </w:r>
      <w:r w:rsidRPr="00435653">
        <w:rPr>
          <w:rFonts w:ascii="Century" w:hAnsi="Century" w:cs="Miriam" w:hint="eastAsia"/>
          <w:b/>
          <w:spacing w:val="0"/>
          <w:sz w:val="22"/>
          <w:szCs w:val="24"/>
          <w:rtl/>
        </w:rPr>
        <w:t>ציון</w:t>
      </w:r>
      <w:r w:rsidRPr="00435653">
        <w:rPr>
          <w:rFonts w:ascii="Century" w:hAnsi="Century"/>
          <w:sz w:val="22"/>
          <w:rtl/>
        </w:rPr>
        <w:t xml:space="preserve">, </w:t>
      </w:r>
      <w:r w:rsidRPr="00435653">
        <w:rPr>
          <w:rFonts w:ascii="Century" w:hAnsi="Century" w:hint="eastAsia"/>
          <w:sz w:val="22"/>
          <w:rtl/>
        </w:rPr>
        <w:t>בעמוד</w:t>
      </w:r>
      <w:r w:rsidRPr="00435653">
        <w:rPr>
          <w:rFonts w:ascii="Century" w:hAnsi="Century"/>
          <w:sz w:val="22"/>
          <w:rtl/>
        </w:rPr>
        <w:t xml:space="preserve"> 148).</w:t>
      </w:r>
    </w:p>
    <w:p w:rsidR="00433434" w:rsidRPr="00435653" w:rsidRDefault="00433434" w:rsidP="00433434">
      <w:pPr>
        <w:pStyle w:val="Ruller4"/>
        <w:spacing w:before="240" w:after="240"/>
      </w:pPr>
      <w:r w:rsidRPr="00435653">
        <w:rPr>
          <w:rFonts w:ascii="Century" w:hAnsi="Century" w:hint="cs"/>
          <w:sz w:val="22"/>
          <w:rtl/>
        </w:rPr>
        <w:t>טרם סיום חלק זה אדגיש כי כאמור לעיל, דירקטור אינו רשאי לפעול כעושה דברו של בעל השליטה, וכך גם "</w:t>
      </w:r>
      <w:r w:rsidRPr="00435653">
        <w:rPr>
          <w:rFonts w:ascii="Century" w:hAnsi="Century" w:cs="Miriam" w:hint="cs"/>
          <w:b/>
          <w:spacing w:val="0"/>
          <w:sz w:val="22"/>
          <w:szCs w:val="24"/>
          <w:rtl/>
        </w:rPr>
        <w:t>מצדו השני של המטבע, אסור לבעל השליטה לפגוע בשיקול דעתו העצמאי של הדירקטור</w:t>
      </w:r>
      <w:r w:rsidRPr="00435653">
        <w:rPr>
          <w:rFonts w:ascii="Century" w:hAnsi="Century" w:hint="cs"/>
          <w:sz w:val="22"/>
          <w:rtl/>
        </w:rPr>
        <w:t xml:space="preserve">" </w:t>
      </w:r>
      <w:r w:rsidRPr="00435653">
        <w:rPr>
          <w:rFonts w:hint="cs"/>
          <w:rtl/>
        </w:rPr>
        <w:t xml:space="preserve">(עניין </w:t>
      </w:r>
      <w:proofErr w:type="spellStart"/>
      <w:r w:rsidRPr="00435653">
        <w:rPr>
          <w:rFonts w:ascii="Century" w:hAnsi="Century" w:cs="Miriam" w:hint="cs"/>
          <w:b/>
          <w:spacing w:val="0"/>
          <w:sz w:val="22"/>
          <w:szCs w:val="24"/>
          <w:rtl/>
        </w:rPr>
        <w:t>ורדניקוב</w:t>
      </w:r>
      <w:proofErr w:type="spellEnd"/>
      <w:r w:rsidRPr="00435653">
        <w:rPr>
          <w:rFonts w:ascii="Century" w:hAnsi="Century" w:hint="cs"/>
          <w:sz w:val="22"/>
          <w:rtl/>
        </w:rPr>
        <w:t xml:space="preserve">, בפסקה 111; סעיף 106(ב) לחוק החברות); לכך אדרש בהמשך הדברים, בהתייחס לנסיבות ענייננו. בתוך כך, וכפי שכבר נקבע, בעל שליטה המפר חובתו זו ומשמש כ'דירקטור צללים' או כ'דירקטור דה פקטו', צפוי, בין השאר, להיות כפוף לכלל החובות המוטלות על דירקטור (שם, בפסקה 111; סעיף 106(ג) לחוק החברות; </w:t>
      </w:r>
      <w:r w:rsidRPr="00435653">
        <w:rPr>
          <w:rFonts w:ascii="Century" w:hAnsi="Century" w:cs="Miriam" w:hint="cs"/>
          <w:b/>
          <w:spacing w:val="0"/>
          <w:sz w:val="22"/>
          <w:szCs w:val="24"/>
          <w:rtl/>
        </w:rPr>
        <w:t>גושן ואקשטיין</w:t>
      </w:r>
      <w:r w:rsidRPr="00435653">
        <w:rPr>
          <w:rFonts w:ascii="Century" w:hAnsi="Century" w:hint="cs"/>
          <w:sz w:val="22"/>
          <w:rtl/>
        </w:rPr>
        <w:t xml:space="preserve">, בעמוד 260). </w:t>
      </w:r>
    </w:p>
    <w:p w:rsidR="00433434" w:rsidRPr="00435653" w:rsidRDefault="00433434" w:rsidP="008A79B6">
      <w:pPr>
        <w:pStyle w:val="Ruller4"/>
        <w:numPr>
          <w:ilvl w:val="0"/>
          <w:numId w:val="0"/>
        </w:numPr>
        <w:spacing w:before="240" w:after="240"/>
        <w:rPr>
          <w:rFonts w:ascii="Century" w:hAnsi="Century" w:cs="Miriam"/>
          <w:b/>
          <w:spacing w:val="0"/>
          <w:sz w:val="22"/>
          <w:szCs w:val="24"/>
          <w:rtl/>
        </w:rPr>
      </w:pPr>
      <w:r w:rsidRPr="00435653">
        <w:rPr>
          <w:rFonts w:ascii="Century" w:hAnsi="Century" w:cs="Miriam" w:hint="cs"/>
          <w:b/>
          <w:spacing w:val="0"/>
          <w:sz w:val="22"/>
          <w:szCs w:val="24"/>
          <w:rtl/>
        </w:rPr>
        <w:t xml:space="preserve">הדין החל על חברות ממשלתיות </w:t>
      </w:r>
      <w:r w:rsidRPr="00435653">
        <w:rPr>
          <w:rFonts w:ascii="Century" w:hAnsi="Century" w:cs="Miriam"/>
          <w:b/>
          <w:spacing w:val="0"/>
          <w:sz w:val="22"/>
          <w:szCs w:val="24"/>
          <w:rtl/>
        </w:rPr>
        <w:t>–</w:t>
      </w:r>
      <w:r w:rsidRPr="00435653">
        <w:rPr>
          <w:rFonts w:ascii="Century" w:hAnsi="Century" w:cs="Miriam" w:hint="cs"/>
          <w:b/>
          <w:spacing w:val="0"/>
          <w:sz w:val="22"/>
          <w:szCs w:val="24"/>
          <w:rtl/>
        </w:rPr>
        <w:t xml:space="preserve"> דואליות נורמטיבית בראי בעיית הנציג </w:t>
      </w:r>
    </w:p>
    <w:p w:rsidR="00433434" w:rsidRPr="00435653" w:rsidRDefault="00433434" w:rsidP="00433434">
      <w:pPr>
        <w:pStyle w:val="Ruller4"/>
        <w:spacing w:before="240" w:after="240"/>
      </w:pPr>
      <w:r w:rsidRPr="00435653">
        <w:rPr>
          <w:rFonts w:hint="cs"/>
          <w:rtl/>
        </w:rPr>
        <w:t xml:space="preserve">לאחר תיאור ההיגיון המארגן שעומד ביסוד דיני התאגידים והמשפט </w:t>
      </w:r>
      <w:proofErr w:type="spellStart"/>
      <w:r w:rsidRPr="00435653">
        <w:rPr>
          <w:rFonts w:hint="cs"/>
          <w:rtl/>
        </w:rPr>
        <w:t>המינהלי</w:t>
      </w:r>
      <w:proofErr w:type="spellEnd"/>
      <w:r w:rsidRPr="00435653">
        <w:rPr>
          <w:rFonts w:hint="cs"/>
          <w:rtl/>
        </w:rPr>
        <w:t xml:space="preserve">, אפנה כעת לדון בדין החל על חברה ממשלתית. </w:t>
      </w:r>
      <w:r w:rsidRPr="00435653">
        <w:rPr>
          <w:rFonts w:ascii="Century" w:hAnsi="Century" w:hint="eastAsia"/>
          <w:sz w:val="22"/>
          <w:rtl/>
        </w:rPr>
        <w:t>כאמור</w:t>
      </w:r>
      <w:r w:rsidRPr="00435653">
        <w:rPr>
          <w:rFonts w:ascii="Century" w:hAnsi="Century"/>
          <w:sz w:val="22"/>
          <w:rtl/>
        </w:rPr>
        <w:t xml:space="preserve">, </w:t>
      </w:r>
      <w:r w:rsidRPr="00435653">
        <w:rPr>
          <w:rFonts w:ascii="Century" w:hAnsi="Century" w:hint="eastAsia"/>
          <w:sz w:val="22"/>
          <w:rtl/>
        </w:rPr>
        <w:t>מסעיף</w:t>
      </w:r>
      <w:r w:rsidRPr="00435653">
        <w:rPr>
          <w:rFonts w:hint="cs"/>
          <w:rtl/>
        </w:rPr>
        <w:t xml:space="preserve"> 1(א) לחוק החברות הממשלתיות עולה כי חברה ממשלתית היא חברה </w:t>
      </w:r>
      <w:r w:rsidRPr="00435653">
        <w:rPr>
          <w:rFonts w:ascii="Century" w:hAnsi="Century" w:cs="Miriam" w:hint="eastAsia"/>
          <w:b/>
          <w:spacing w:val="0"/>
          <w:sz w:val="22"/>
          <w:szCs w:val="24"/>
          <w:rtl/>
        </w:rPr>
        <w:t>הנשלטת</w:t>
      </w:r>
      <w:r w:rsidRPr="00435653">
        <w:rPr>
          <w:rFonts w:ascii="Century" w:hAnsi="Century"/>
          <w:sz w:val="22"/>
          <w:rtl/>
        </w:rPr>
        <w:t xml:space="preserve"> </w:t>
      </w:r>
      <w:r w:rsidRPr="00435653">
        <w:rPr>
          <w:rFonts w:ascii="Century" w:hAnsi="Century" w:hint="eastAsia"/>
          <w:sz w:val="22"/>
          <w:rtl/>
        </w:rPr>
        <w:t>על</w:t>
      </w:r>
      <w:r w:rsidRPr="00435653">
        <w:rPr>
          <w:rFonts w:ascii="Century" w:hAnsi="Century"/>
          <w:sz w:val="22"/>
          <w:rtl/>
        </w:rPr>
        <w:t xml:space="preserve"> </w:t>
      </w:r>
      <w:r w:rsidRPr="00435653">
        <w:rPr>
          <w:rFonts w:ascii="Century" w:hAnsi="Century" w:hint="eastAsia"/>
          <w:sz w:val="22"/>
          <w:rtl/>
        </w:rPr>
        <w:t>ידי</w:t>
      </w:r>
      <w:r w:rsidRPr="00435653">
        <w:rPr>
          <w:rFonts w:ascii="Century" w:hAnsi="Century"/>
          <w:sz w:val="22"/>
          <w:rtl/>
        </w:rPr>
        <w:t xml:space="preserve"> </w:t>
      </w:r>
      <w:r w:rsidRPr="00435653">
        <w:rPr>
          <w:rFonts w:ascii="Century" w:hAnsi="Century" w:hint="eastAsia"/>
          <w:sz w:val="22"/>
          <w:rtl/>
        </w:rPr>
        <w:t>ממשלת</w:t>
      </w:r>
      <w:r w:rsidRPr="00435653">
        <w:rPr>
          <w:rFonts w:ascii="Century" w:hAnsi="Century"/>
          <w:sz w:val="22"/>
          <w:rtl/>
        </w:rPr>
        <w:t xml:space="preserve"> </w:t>
      </w:r>
      <w:r w:rsidRPr="00435653">
        <w:rPr>
          <w:rFonts w:ascii="Century" w:hAnsi="Century" w:hint="eastAsia"/>
          <w:sz w:val="22"/>
          <w:rtl/>
        </w:rPr>
        <w:t>ישראל</w:t>
      </w:r>
      <w:r w:rsidRPr="00435653">
        <w:rPr>
          <w:rFonts w:ascii="Century" w:hAnsi="Century"/>
          <w:sz w:val="22"/>
          <w:rtl/>
        </w:rPr>
        <w:t xml:space="preserve">. </w:t>
      </w:r>
      <w:r w:rsidRPr="00435653">
        <w:rPr>
          <w:rFonts w:ascii="Century" w:hAnsi="Century" w:hint="eastAsia"/>
          <w:sz w:val="22"/>
          <w:rtl/>
        </w:rPr>
        <w:t>שליטה</w:t>
      </w:r>
      <w:r w:rsidRPr="00435653">
        <w:rPr>
          <w:rFonts w:ascii="Century" w:hAnsi="Century"/>
          <w:sz w:val="22"/>
          <w:rtl/>
        </w:rPr>
        <w:t xml:space="preserve"> </w:t>
      </w:r>
      <w:r w:rsidRPr="00435653">
        <w:rPr>
          <w:rFonts w:ascii="Century" w:hAnsi="Century" w:hint="eastAsia"/>
          <w:sz w:val="22"/>
          <w:rtl/>
        </w:rPr>
        <w:t>זו</w:t>
      </w:r>
      <w:r w:rsidRPr="00435653">
        <w:rPr>
          <w:rFonts w:ascii="Century" w:hAnsi="Century"/>
          <w:sz w:val="22"/>
          <w:rtl/>
        </w:rPr>
        <w:t xml:space="preserve">, </w:t>
      </w:r>
      <w:r w:rsidRPr="00435653">
        <w:rPr>
          <w:rFonts w:hint="cs"/>
          <w:rtl/>
        </w:rPr>
        <w:t>בצירוף השפעתן המשמעותית של החברות הממשלתיות על המשק ועל החברה, מהוות, כאמור, הצדקות מרכזיות להטלת המגבלות הייחודיות על אופן פעילותן של החברות הממשלתיות ולהסדרתן</w:t>
      </w:r>
      <w:r w:rsidRPr="00435653">
        <w:rPr>
          <w:rFonts w:ascii="Century" w:hAnsi="Century"/>
          <w:sz w:val="22"/>
          <w:rtl/>
        </w:rPr>
        <w:t xml:space="preserve"> (</w:t>
      </w:r>
      <w:r w:rsidRPr="00435653">
        <w:rPr>
          <w:rFonts w:ascii="Century" w:hAnsi="Century" w:cs="Miriam" w:hint="cs"/>
          <w:b/>
          <w:spacing w:val="0"/>
          <w:sz w:val="22"/>
          <w:szCs w:val="24"/>
          <w:rtl/>
        </w:rPr>
        <w:t xml:space="preserve">ברק-ארז </w:t>
      </w:r>
      <w:r w:rsidRPr="00435653">
        <w:rPr>
          <w:rFonts w:ascii="Century" w:hAnsi="Century" w:cs="Miriam"/>
          <w:b/>
          <w:spacing w:val="0"/>
          <w:sz w:val="22"/>
          <w:szCs w:val="24"/>
          <w:rtl/>
        </w:rPr>
        <w:t>–</w:t>
      </w:r>
      <w:r w:rsidRPr="00435653">
        <w:rPr>
          <w:rFonts w:ascii="Century" w:hAnsi="Century" w:cs="Miriam" w:hint="cs"/>
          <w:b/>
          <w:spacing w:val="0"/>
          <w:sz w:val="22"/>
          <w:szCs w:val="24"/>
          <w:rtl/>
        </w:rPr>
        <w:t xml:space="preserve"> </w:t>
      </w:r>
      <w:proofErr w:type="spellStart"/>
      <w:r w:rsidRPr="00435653">
        <w:rPr>
          <w:rFonts w:ascii="Century" w:hAnsi="Century" w:cs="Miriam" w:hint="cs"/>
          <w:b/>
          <w:spacing w:val="0"/>
          <w:sz w:val="22"/>
          <w:szCs w:val="24"/>
          <w:rtl/>
        </w:rPr>
        <w:t>מינהלי</w:t>
      </w:r>
      <w:proofErr w:type="spellEnd"/>
      <w:r w:rsidRPr="00435653">
        <w:rPr>
          <w:rFonts w:ascii="Century" w:hAnsi="Century" w:cs="Miriam" w:hint="cs"/>
          <w:b/>
          <w:spacing w:val="0"/>
          <w:sz w:val="22"/>
          <w:szCs w:val="24"/>
          <w:rtl/>
        </w:rPr>
        <w:t>-כלכלי</w:t>
      </w:r>
      <w:r w:rsidRPr="00435653">
        <w:rPr>
          <w:rFonts w:ascii="Century" w:hAnsi="Century" w:hint="cs"/>
          <w:sz w:val="22"/>
          <w:rtl/>
        </w:rPr>
        <w:t>, בעמוד</w:t>
      </w:r>
      <w:r w:rsidRPr="00435653" w:rsidDel="006D4CE2">
        <w:rPr>
          <w:rFonts w:ascii="Century" w:hAnsi="Century"/>
          <w:sz w:val="22"/>
          <w:rtl/>
        </w:rPr>
        <w:t xml:space="preserve"> </w:t>
      </w:r>
      <w:r w:rsidRPr="00435653">
        <w:rPr>
          <w:rFonts w:ascii="Century" w:hAnsi="Century"/>
          <w:sz w:val="22"/>
          <w:rtl/>
        </w:rPr>
        <w:t>453).</w:t>
      </w:r>
    </w:p>
    <w:p w:rsidR="00433434" w:rsidRPr="00435653" w:rsidRDefault="00433434" w:rsidP="00433434">
      <w:pPr>
        <w:pStyle w:val="Ruller4"/>
        <w:spacing w:before="240" w:after="240"/>
        <w:rPr>
          <w:rtl/>
        </w:rPr>
      </w:pPr>
      <w:r w:rsidRPr="00435653">
        <w:rPr>
          <w:rFonts w:ascii="Century" w:hAnsi="Century" w:hint="cs"/>
          <w:sz w:val="22"/>
          <w:rtl/>
        </w:rPr>
        <w:t xml:space="preserve">יחד עם זאת, כמו כל חברה אחרת, תכליתה של חברה ממשלתית היא, בראש ובראשונה </w:t>
      </w:r>
      <w:r w:rsidRPr="00435653">
        <w:rPr>
          <w:rFonts w:ascii="Century" w:hAnsi="Century"/>
          <w:sz w:val="22"/>
          <w:rtl/>
        </w:rPr>
        <w:t>–</w:t>
      </w:r>
      <w:r w:rsidRPr="00435653">
        <w:rPr>
          <w:rFonts w:ascii="Century" w:hAnsi="Century" w:hint="cs"/>
          <w:sz w:val="22"/>
          <w:rtl/>
        </w:rPr>
        <w:t xml:space="preserve"> </w:t>
      </w:r>
      <w:r w:rsidRPr="00435653">
        <w:rPr>
          <w:rFonts w:ascii="Century" w:hAnsi="Century" w:cs="Miriam" w:hint="cs"/>
          <w:b/>
          <w:spacing w:val="0"/>
          <w:sz w:val="22"/>
          <w:szCs w:val="24"/>
          <w:rtl/>
        </w:rPr>
        <w:t>תכלית עסקית</w:t>
      </w:r>
      <w:r w:rsidRPr="00435653">
        <w:rPr>
          <w:rFonts w:ascii="Century" w:hAnsi="Century" w:hint="cs"/>
          <w:sz w:val="22"/>
          <w:rtl/>
        </w:rPr>
        <w:t>, זולת אם קבעה לה הממשלה, באישור ועדת הכספים של הכנסת, "</w:t>
      </w:r>
      <w:r w:rsidRPr="00435653">
        <w:rPr>
          <w:rFonts w:ascii="Century" w:hAnsi="Century" w:cs="Miriam" w:hint="cs"/>
          <w:b/>
          <w:spacing w:val="0"/>
          <w:sz w:val="22"/>
          <w:szCs w:val="24"/>
          <w:rtl/>
        </w:rPr>
        <w:t>שיקולי פעולה אחרים</w:t>
      </w:r>
      <w:r w:rsidRPr="00435653">
        <w:rPr>
          <w:rFonts w:ascii="Century" w:hAnsi="Century" w:hint="cs"/>
          <w:sz w:val="22"/>
          <w:rtl/>
        </w:rPr>
        <w:t xml:space="preserve">" (סעיף 4(א) לחוק החברות הממשלתיות; השוו: סעיף 11(א) לחוק החברות; ראו גם: ע"א 276/09 </w:t>
      </w:r>
      <w:proofErr w:type="spellStart"/>
      <w:r w:rsidRPr="00435653">
        <w:rPr>
          <w:rFonts w:ascii="Century" w:hAnsi="Century" w:cs="Miriam" w:hint="cs"/>
          <w:b/>
          <w:spacing w:val="0"/>
          <w:sz w:val="22"/>
          <w:szCs w:val="24"/>
          <w:rtl/>
        </w:rPr>
        <w:t>טאבא</w:t>
      </w:r>
      <w:proofErr w:type="spellEnd"/>
      <w:r w:rsidRPr="00435653">
        <w:rPr>
          <w:rFonts w:ascii="Century" w:hAnsi="Century" w:cs="Miriam" w:hint="cs"/>
          <w:b/>
          <w:spacing w:val="0"/>
          <w:sz w:val="22"/>
          <w:szCs w:val="24"/>
          <w:rtl/>
        </w:rPr>
        <w:t xml:space="preserve"> נ' </w:t>
      </w:r>
      <w:proofErr w:type="spellStart"/>
      <w:r w:rsidRPr="00435653">
        <w:rPr>
          <w:rFonts w:ascii="Century" w:hAnsi="Century" w:cs="Miriam" w:hint="cs"/>
          <w:b/>
          <w:spacing w:val="0"/>
          <w:sz w:val="22"/>
          <w:szCs w:val="24"/>
          <w:rtl/>
        </w:rPr>
        <w:t>מינהל</w:t>
      </w:r>
      <w:proofErr w:type="spellEnd"/>
      <w:r w:rsidRPr="00435653">
        <w:rPr>
          <w:rFonts w:ascii="Century" w:hAnsi="Century" w:cs="Miriam" w:hint="cs"/>
          <w:b/>
          <w:spacing w:val="0"/>
          <w:sz w:val="22"/>
          <w:szCs w:val="24"/>
          <w:rtl/>
        </w:rPr>
        <w:t xml:space="preserve"> מקרקעי ישראל</w:t>
      </w:r>
      <w:r w:rsidRPr="00435653">
        <w:rPr>
          <w:rFonts w:ascii="Century" w:hAnsi="Century" w:hint="cs"/>
          <w:sz w:val="22"/>
          <w:rtl/>
        </w:rPr>
        <w:t xml:space="preserve">, פסקה 21 (02.01.2011); בג"ץ 4682/23 </w:t>
      </w:r>
      <w:r w:rsidRPr="00435653">
        <w:rPr>
          <w:rFonts w:ascii="Century" w:hAnsi="Century" w:cs="Miriam" w:hint="cs"/>
          <w:b/>
          <w:spacing w:val="0"/>
          <w:sz w:val="22"/>
          <w:szCs w:val="24"/>
          <w:rtl/>
        </w:rPr>
        <w:t>עמותת הרצליה למען תושביה נ' חברת דואר ישראל בע"מ</w:t>
      </w:r>
      <w:r w:rsidRPr="00435653">
        <w:rPr>
          <w:rFonts w:ascii="Century" w:hAnsi="Century" w:hint="cs"/>
          <w:sz w:val="22"/>
          <w:rtl/>
        </w:rPr>
        <w:t>, פסקה 16 (28.08.2023)).</w:t>
      </w:r>
      <w:r w:rsidRPr="00435653">
        <w:rPr>
          <w:rFonts w:hint="cs"/>
          <w:rtl/>
        </w:rPr>
        <w:t xml:space="preserve"> עוד יודגש, כי ככל שלא נקבע בדין אחרת, חוק החברות חל במישרין </w:t>
      </w:r>
      <w:r w:rsidRPr="00435653">
        <w:rPr>
          <w:rFonts w:ascii="Century" w:hAnsi="Century" w:hint="eastAsia"/>
          <w:b/>
          <w:spacing w:val="0"/>
          <w:sz w:val="22"/>
          <w:rtl/>
        </w:rPr>
        <w:t>גם</w:t>
      </w:r>
      <w:r w:rsidRPr="00435653">
        <w:rPr>
          <w:rFonts w:hint="cs"/>
          <w:rtl/>
        </w:rPr>
        <w:t xml:space="preserve"> על חברה ממשלתית (סעיף 2 לחוק החברות הממשלתיות; ע"א 2808/10 </w:t>
      </w:r>
      <w:r w:rsidRPr="00435653">
        <w:rPr>
          <w:rFonts w:ascii="Century" w:hAnsi="Century" w:cs="Miriam" w:hint="cs"/>
          <w:b/>
          <w:spacing w:val="0"/>
          <w:sz w:val="22"/>
          <w:szCs w:val="24"/>
          <w:rtl/>
        </w:rPr>
        <w:t xml:space="preserve">עזבון חיים </w:t>
      </w:r>
      <w:proofErr w:type="spellStart"/>
      <w:r w:rsidRPr="00435653">
        <w:rPr>
          <w:rFonts w:ascii="Century" w:hAnsi="Century" w:cs="Miriam" w:hint="cs"/>
          <w:b/>
          <w:spacing w:val="0"/>
          <w:sz w:val="22"/>
          <w:szCs w:val="24"/>
          <w:rtl/>
        </w:rPr>
        <w:t>שיף</w:t>
      </w:r>
      <w:proofErr w:type="spellEnd"/>
      <w:r w:rsidRPr="00435653">
        <w:rPr>
          <w:rFonts w:ascii="Century" w:hAnsi="Century" w:cs="Miriam" w:hint="cs"/>
          <w:b/>
          <w:spacing w:val="0"/>
          <w:sz w:val="22"/>
          <w:szCs w:val="24"/>
          <w:rtl/>
        </w:rPr>
        <w:t xml:space="preserve"> נ' החברה לפיתוח חוף אילת בע"מ</w:t>
      </w:r>
      <w:r w:rsidRPr="00435653">
        <w:rPr>
          <w:rFonts w:ascii="Century" w:hAnsi="Century" w:hint="cs"/>
          <w:sz w:val="22"/>
          <w:rtl/>
        </w:rPr>
        <w:t xml:space="preserve">, פסקה 9 (29.05.2012) </w:t>
      </w:r>
      <w:r w:rsidRPr="00435653">
        <w:rPr>
          <w:rFonts w:ascii="Century" w:hAnsi="Century"/>
          <w:sz w:val="22"/>
          <w:rtl/>
        </w:rPr>
        <w:t>(</w:t>
      </w:r>
      <w:r w:rsidRPr="00435653">
        <w:rPr>
          <w:rFonts w:ascii="Century" w:hAnsi="Century" w:hint="eastAsia"/>
          <w:sz w:val="22"/>
          <w:rtl/>
        </w:rPr>
        <w:t>להלן</w:t>
      </w:r>
      <w:r w:rsidRPr="00435653">
        <w:rPr>
          <w:rFonts w:ascii="Century" w:hAnsi="Century"/>
          <w:sz w:val="22"/>
          <w:rtl/>
        </w:rPr>
        <w:t xml:space="preserve">: </w:t>
      </w:r>
      <w:r w:rsidRPr="00435653">
        <w:rPr>
          <w:rFonts w:ascii="Century" w:hAnsi="Century" w:cs="Miriam" w:hint="cs"/>
          <w:b/>
          <w:spacing w:val="0"/>
          <w:sz w:val="22"/>
          <w:szCs w:val="24"/>
          <w:rtl/>
        </w:rPr>
        <w:t xml:space="preserve">עניין </w:t>
      </w:r>
      <w:proofErr w:type="spellStart"/>
      <w:r w:rsidRPr="00435653">
        <w:rPr>
          <w:rFonts w:ascii="Century" w:hAnsi="Century" w:cs="Miriam" w:hint="cs"/>
          <w:b/>
          <w:spacing w:val="0"/>
          <w:sz w:val="22"/>
          <w:szCs w:val="24"/>
          <w:rtl/>
        </w:rPr>
        <w:t>שיף</w:t>
      </w:r>
      <w:proofErr w:type="spellEnd"/>
      <w:r w:rsidRPr="00435653">
        <w:rPr>
          <w:rFonts w:ascii="Century" w:hAnsi="Century" w:hint="cs"/>
          <w:sz w:val="22"/>
          <w:rtl/>
        </w:rPr>
        <w:t>)</w:t>
      </w:r>
      <w:r w:rsidRPr="00435653">
        <w:rPr>
          <w:rFonts w:hint="cs"/>
          <w:rtl/>
        </w:rPr>
        <w:t xml:space="preserve">; </w:t>
      </w:r>
      <w:r w:rsidRPr="00435653">
        <w:rPr>
          <w:rFonts w:ascii="Century" w:hAnsi="Century" w:cs="Miriam" w:hint="cs"/>
          <w:b/>
          <w:spacing w:val="0"/>
          <w:sz w:val="22"/>
          <w:szCs w:val="24"/>
          <w:rtl/>
        </w:rPr>
        <w:t>זמיר</w:t>
      </w:r>
      <w:r w:rsidRPr="00435653">
        <w:rPr>
          <w:rFonts w:ascii="Century" w:hAnsi="Century" w:hint="cs"/>
          <w:sz w:val="22"/>
          <w:rtl/>
        </w:rPr>
        <w:t>, בעמוד 497</w:t>
      </w:r>
      <w:r w:rsidRPr="00435653">
        <w:rPr>
          <w:rFonts w:hint="cs"/>
          <w:rtl/>
        </w:rPr>
        <w:t>).</w:t>
      </w:r>
    </w:p>
    <w:p w:rsidR="00433434" w:rsidRPr="00435653" w:rsidRDefault="00433434" w:rsidP="00433434">
      <w:pPr>
        <w:pStyle w:val="Ruller4"/>
        <w:spacing w:before="240" w:after="240"/>
      </w:pPr>
      <w:r w:rsidRPr="00435653">
        <w:rPr>
          <w:rFonts w:hint="cs"/>
          <w:rtl/>
        </w:rPr>
        <w:lastRenderedPageBreak/>
        <w:t xml:space="preserve">מתח זה עמד, אם כן, בבסיס חקיקת חוק החברות הממשלתיות. כך עולה מדברי ההסבר להצעת החוק (הצעת חוק החברות הממשלתיות, התשל"ג-1973, </w:t>
      </w:r>
      <w:proofErr w:type="spellStart"/>
      <w:r w:rsidRPr="00435653">
        <w:rPr>
          <w:rFonts w:hint="cs"/>
          <w:rtl/>
        </w:rPr>
        <w:t>ה"ח</w:t>
      </w:r>
      <w:proofErr w:type="spellEnd"/>
      <w:r w:rsidRPr="00435653">
        <w:rPr>
          <w:rFonts w:hint="cs"/>
          <w:rtl/>
        </w:rPr>
        <w:t xml:space="preserve"> 1067, 314 (להלן: </w:t>
      </w:r>
      <w:r w:rsidRPr="00435653">
        <w:rPr>
          <w:rFonts w:ascii="Century" w:hAnsi="Century" w:cs="Miriam" w:hint="cs"/>
          <w:b/>
          <w:spacing w:val="0"/>
          <w:sz w:val="22"/>
          <w:szCs w:val="24"/>
          <w:rtl/>
        </w:rPr>
        <w:t>הצעת חוק החברות הממשלתיות</w:t>
      </w:r>
      <w:r w:rsidRPr="00435653">
        <w:rPr>
          <w:rFonts w:ascii="Century" w:hAnsi="Century" w:hint="cs"/>
          <w:sz w:val="22"/>
          <w:rtl/>
        </w:rPr>
        <w:t xml:space="preserve">)); וכך גם על-פי דו"ח ועדת ברק שעמלה על הכנת הצעת החוק </w:t>
      </w:r>
      <w:r w:rsidRPr="00435653">
        <w:rPr>
          <w:rFonts w:ascii="Century" w:hAnsi="Century" w:hint="cs"/>
          <w:rtl/>
        </w:rPr>
        <w:t>(</w:t>
      </w:r>
      <w:r w:rsidRPr="00435653">
        <w:rPr>
          <w:rFonts w:ascii="Century" w:hAnsi="Century" w:cs="Miriam" w:hint="eastAsia"/>
          <w:b/>
          <w:spacing w:val="0"/>
          <w:szCs w:val="24"/>
          <w:rtl/>
        </w:rPr>
        <w:t>דין</w:t>
      </w:r>
      <w:r w:rsidRPr="00435653">
        <w:rPr>
          <w:rFonts w:ascii="Century" w:hAnsi="Century" w:cs="Miriam"/>
          <w:b/>
          <w:spacing w:val="0"/>
          <w:szCs w:val="24"/>
          <w:rtl/>
        </w:rPr>
        <w:t xml:space="preserve"> </w:t>
      </w:r>
      <w:r w:rsidRPr="00435653">
        <w:rPr>
          <w:rFonts w:ascii="Century" w:hAnsi="Century" w:cs="Miriam" w:hint="eastAsia"/>
          <w:b/>
          <w:spacing w:val="0"/>
          <w:szCs w:val="24"/>
          <w:rtl/>
        </w:rPr>
        <w:t>וחשבון</w:t>
      </w:r>
      <w:r w:rsidRPr="00435653">
        <w:rPr>
          <w:rFonts w:ascii="Century" w:hAnsi="Century" w:cs="Miriam"/>
          <w:b/>
          <w:spacing w:val="0"/>
          <w:szCs w:val="24"/>
          <w:rtl/>
        </w:rPr>
        <w:t xml:space="preserve"> </w:t>
      </w:r>
      <w:r w:rsidRPr="00435653">
        <w:rPr>
          <w:rFonts w:ascii="Century" w:hAnsi="Century" w:cs="Miriam" w:hint="eastAsia"/>
          <w:b/>
          <w:spacing w:val="0"/>
          <w:szCs w:val="24"/>
          <w:rtl/>
        </w:rPr>
        <w:t>הוועדה</w:t>
      </w:r>
      <w:r w:rsidRPr="00435653">
        <w:rPr>
          <w:rFonts w:ascii="Century" w:hAnsi="Century" w:cs="Miriam"/>
          <w:b/>
          <w:spacing w:val="0"/>
          <w:szCs w:val="24"/>
          <w:rtl/>
        </w:rPr>
        <w:t xml:space="preserve"> </w:t>
      </w:r>
      <w:r w:rsidRPr="00435653">
        <w:rPr>
          <w:rFonts w:ascii="Century" w:hAnsi="Century" w:cs="Miriam" w:hint="eastAsia"/>
          <w:b/>
          <w:spacing w:val="0"/>
          <w:szCs w:val="24"/>
          <w:rtl/>
        </w:rPr>
        <w:t>להכנתה</w:t>
      </w:r>
      <w:r w:rsidRPr="00435653">
        <w:rPr>
          <w:rFonts w:ascii="Century" w:hAnsi="Century" w:cs="Miriam"/>
          <w:b/>
          <w:spacing w:val="0"/>
          <w:szCs w:val="24"/>
          <w:rtl/>
        </w:rPr>
        <w:t xml:space="preserve"> </w:t>
      </w:r>
      <w:r w:rsidRPr="00435653">
        <w:rPr>
          <w:rFonts w:ascii="Century" w:hAnsi="Century" w:cs="Miriam" w:hint="eastAsia"/>
          <w:b/>
          <w:spacing w:val="0"/>
          <w:szCs w:val="24"/>
          <w:rtl/>
        </w:rPr>
        <w:t>של</w:t>
      </w:r>
      <w:r w:rsidRPr="00435653">
        <w:rPr>
          <w:rFonts w:ascii="Century" w:hAnsi="Century" w:cs="Miriam"/>
          <w:b/>
          <w:spacing w:val="0"/>
          <w:szCs w:val="24"/>
          <w:rtl/>
        </w:rPr>
        <w:t xml:space="preserve"> </w:t>
      </w:r>
      <w:r w:rsidRPr="00435653">
        <w:rPr>
          <w:rFonts w:ascii="Century" w:hAnsi="Century" w:cs="Miriam" w:hint="eastAsia"/>
          <w:b/>
          <w:spacing w:val="0"/>
          <w:szCs w:val="24"/>
          <w:rtl/>
        </w:rPr>
        <w:t>הצעת</w:t>
      </w:r>
      <w:r w:rsidRPr="00435653">
        <w:rPr>
          <w:rFonts w:ascii="Century" w:hAnsi="Century" w:cs="Miriam"/>
          <w:b/>
          <w:spacing w:val="0"/>
          <w:szCs w:val="24"/>
          <w:rtl/>
        </w:rPr>
        <w:t xml:space="preserve"> </w:t>
      </w:r>
      <w:r w:rsidRPr="00435653">
        <w:rPr>
          <w:rFonts w:ascii="Century" w:hAnsi="Century" w:cs="Miriam" w:hint="eastAsia"/>
          <w:b/>
          <w:spacing w:val="0"/>
          <w:szCs w:val="24"/>
          <w:rtl/>
        </w:rPr>
        <w:t>חוק</w:t>
      </w:r>
      <w:r w:rsidRPr="00435653">
        <w:rPr>
          <w:rFonts w:ascii="Century" w:hAnsi="Century" w:cs="Miriam"/>
          <w:b/>
          <w:spacing w:val="0"/>
          <w:szCs w:val="24"/>
          <w:rtl/>
        </w:rPr>
        <w:t xml:space="preserve"> </w:t>
      </w:r>
      <w:r w:rsidRPr="00435653">
        <w:rPr>
          <w:rFonts w:ascii="Century" w:hAnsi="Century" w:cs="Miriam" w:hint="eastAsia"/>
          <w:b/>
          <w:spacing w:val="0"/>
          <w:szCs w:val="24"/>
          <w:rtl/>
        </w:rPr>
        <w:t>חברות</w:t>
      </w:r>
      <w:r w:rsidRPr="00435653">
        <w:rPr>
          <w:rFonts w:ascii="Century" w:hAnsi="Century" w:cs="Miriam"/>
          <w:b/>
          <w:spacing w:val="0"/>
          <w:szCs w:val="24"/>
          <w:rtl/>
        </w:rPr>
        <w:t xml:space="preserve"> </w:t>
      </w:r>
      <w:r w:rsidRPr="00435653">
        <w:rPr>
          <w:rFonts w:ascii="Century" w:hAnsi="Century" w:cs="Miriam" w:hint="eastAsia"/>
          <w:b/>
          <w:spacing w:val="0"/>
          <w:szCs w:val="24"/>
          <w:rtl/>
        </w:rPr>
        <w:t>ממשלתיות</w:t>
      </w:r>
      <w:r w:rsidRPr="00435653">
        <w:rPr>
          <w:rFonts w:ascii="Century" w:hAnsi="Century" w:hint="cs"/>
          <w:rtl/>
        </w:rPr>
        <w:t xml:space="preserve"> (1970) (להלן: </w:t>
      </w:r>
      <w:r w:rsidRPr="00435653">
        <w:rPr>
          <w:rFonts w:ascii="Century" w:hAnsi="Century" w:cs="Miriam" w:hint="cs"/>
          <w:b/>
          <w:spacing w:val="0"/>
          <w:szCs w:val="24"/>
          <w:rtl/>
        </w:rPr>
        <w:t>דו"ח ועדת ברק</w:t>
      </w:r>
      <w:r w:rsidRPr="00435653">
        <w:rPr>
          <w:rFonts w:ascii="Century" w:hAnsi="Century" w:hint="cs"/>
          <w:rtl/>
        </w:rPr>
        <w:t>)) ודנה בהרחבה ב'פרובלמטיקה הבסיסית' הנובעת ממתח זה, כמו גם בצורך לערוך 'איזון נאות' בין שני ההיבטים האמורים (</w:t>
      </w:r>
      <w:r w:rsidRPr="00435653">
        <w:rPr>
          <w:rFonts w:ascii="Century" w:hAnsi="Century" w:cs="Miriam" w:hint="eastAsia"/>
          <w:b/>
          <w:spacing w:val="0"/>
          <w:szCs w:val="24"/>
          <w:rtl/>
        </w:rPr>
        <w:t>דו</w:t>
      </w:r>
      <w:r w:rsidRPr="00435653">
        <w:rPr>
          <w:rFonts w:ascii="Century" w:hAnsi="Century" w:cs="Miriam"/>
          <w:b/>
          <w:spacing w:val="0"/>
          <w:szCs w:val="24"/>
          <w:rtl/>
        </w:rPr>
        <w:t>"</w:t>
      </w:r>
      <w:r w:rsidRPr="00435653">
        <w:rPr>
          <w:rFonts w:ascii="Century" w:hAnsi="Century" w:cs="Miriam" w:hint="eastAsia"/>
          <w:b/>
          <w:spacing w:val="0"/>
          <w:szCs w:val="24"/>
          <w:rtl/>
        </w:rPr>
        <w:t>ח</w:t>
      </w:r>
      <w:r w:rsidRPr="00435653">
        <w:rPr>
          <w:rFonts w:ascii="Century" w:hAnsi="Century" w:hint="cs"/>
          <w:rtl/>
        </w:rPr>
        <w:t xml:space="preserve"> </w:t>
      </w:r>
      <w:r w:rsidRPr="00435653">
        <w:rPr>
          <w:rFonts w:ascii="Century" w:hAnsi="Century" w:cs="Miriam" w:hint="cs"/>
          <w:b/>
          <w:spacing w:val="0"/>
          <w:szCs w:val="24"/>
          <w:rtl/>
        </w:rPr>
        <w:t>ועדת ברק</w:t>
      </w:r>
      <w:r w:rsidRPr="00435653">
        <w:rPr>
          <w:rFonts w:ascii="Century" w:hAnsi="Century" w:hint="cs"/>
          <w:rtl/>
        </w:rPr>
        <w:t>,</w:t>
      </w:r>
      <w:r w:rsidRPr="00435653">
        <w:rPr>
          <w:rFonts w:hint="cs"/>
          <w:rtl/>
        </w:rPr>
        <w:t xml:space="preserve"> בעמודים 27-24; ראו גם: עניין </w:t>
      </w:r>
      <w:r w:rsidRPr="00435653">
        <w:rPr>
          <w:rFonts w:ascii="Century" w:hAnsi="Century" w:cs="Miriam" w:hint="cs"/>
          <w:b/>
          <w:spacing w:val="0"/>
          <w:sz w:val="22"/>
          <w:szCs w:val="24"/>
          <w:rtl/>
        </w:rPr>
        <w:t>נבון</w:t>
      </w:r>
      <w:r w:rsidRPr="00435653">
        <w:rPr>
          <w:rFonts w:ascii="Century" w:hAnsi="Century" w:hint="cs"/>
          <w:sz w:val="22"/>
          <w:rtl/>
        </w:rPr>
        <w:t>, בפסקה 43</w:t>
      </w:r>
      <w:r w:rsidRPr="00435653">
        <w:rPr>
          <w:rFonts w:ascii="Century" w:hAnsi="Century" w:hint="cs"/>
          <w:rtl/>
        </w:rPr>
        <w:t>).</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מאפייניה אלו של החברה הממשלתית, אשר מחד גיסא, היא חברה עסקית לכל דבר ועניין; אך, מאידך גיסא, היא נשלטת על ידי 'בעלת שליטה' מיוחדת במינה, ממשלת ישראל, אשר בתורה מחזיקה את הבעלות בחברה </w:t>
      </w:r>
      <w:r w:rsidRPr="00435653">
        <w:rPr>
          <w:rFonts w:ascii="Century" w:hAnsi="Century" w:cs="Miriam" w:hint="cs"/>
          <w:b/>
          <w:spacing w:val="0"/>
          <w:sz w:val="22"/>
          <w:szCs w:val="24"/>
          <w:rtl/>
        </w:rPr>
        <w:t>כנאמן הציבור</w:t>
      </w:r>
      <w:r w:rsidRPr="00435653">
        <w:rPr>
          <w:rFonts w:ascii="Century" w:hAnsi="Century" w:hint="cs"/>
          <w:sz w:val="22"/>
          <w:rtl/>
        </w:rPr>
        <w:t xml:space="preserve"> </w:t>
      </w:r>
      <w:r w:rsidRPr="00435653">
        <w:rPr>
          <w:rFonts w:ascii="Century" w:hAnsi="Century"/>
          <w:sz w:val="22"/>
          <w:rtl/>
        </w:rPr>
        <w:t>–</w:t>
      </w:r>
      <w:r w:rsidRPr="00435653">
        <w:rPr>
          <w:rFonts w:ascii="Century" w:hAnsi="Century" w:hint="cs"/>
          <w:sz w:val="22"/>
          <w:rtl/>
        </w:rPr>
        <w:t xml:space="preserve"> מציבים את החברה הממשלתית, כאמור, ב'הצטלבות הדרכים' שבין המשפט </w:t>
      </w:r>
      <w:proofErr w:type="spellStart"/>
      <w:r w:rsidRPr="00435653">
        <w:rPr>
          <w:rFonts w:ascii="Century" w:hAnsi="Century" w:hint="cs"/>
          <w:sz w:val="22"/>
          <w:rtl/>
        </w:rPr>
        <w:t>המינהלי</w:t>
      </w:r>
      <w:proofErr w:type="spellEnd"/>
      <w:r w:rsidRPr="00435653">
        <w:rPr>
          <w:rFonts w:ascii="Century" w:hAnsi="Century" w:hint="cs"/>
          <w:sz w:val="22"/>
          <w:rtl/>
        </w:rPr>
        <w:t xml:space="preserve"> ובין דיני החברות. ייחודיות זו, היא שמובילה לכך שחוק החברות הממשלתיות מבקש להתמודד עם הקשיים היסודיים עימם מתמודדים שתי מערכות דינים אלה, בעת ובעונה אחת.  </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בתוך כך ראוי לציין, כי לא אחת סיווגה פסיקתנו חברות ממשלתיות מסוימות, לא כל שכן כאלו אשר כלל מניותיהן מצויות בבעלות המדינה (דהיינו, חברות המהוות "חברה בבעלות ממשלתית מלאה", כהגדרתה בסעיף 1(א) לחוק החברות הממשלתיות) </w:t>
      </w:r>
      <w:r w:rsidRPr="00435653">
        <w:rPr>
          <w:rFonts w:ascii="Century" w:hAnsi="Century"/>
          <w:sz w:val="22"/>
          <w:rtl/>
        </w:rPr>
        <w:t>–</w:t>
      </w:r>
      <w:r w:rsidRPr="00435653">
        <w:rPr>
          <w:rFonts w:ascii="Century" w:hAnsi="Century" w:hint="cs"/>
          <w:sz w:val="22"/>
          <w:rtl/>
        </w:rPr>
        <w:t xml:space="preserve"> כגופים דו-מהותיים. בדומה, נפסק גם כי על חברות אלה </w:t>
      </w:r>
      <w:r w:rsidRPr="00435653">
        <w:rPr>
          <w:rFonts w:ascii="Century" w:hAnsi="Century"/>
          <w:sz w:val="22"/>
          <w:rtl/>
        </w:rPr>
        <w:t>–</w:t>
      </w:r>
      <w:r w:rsidRPr="00435653">
        <w:rPr>
          <w:rFonts w:ascii="Century" w:hAnsi="Century" w:hint="cs"/>
          <w:sz w:val="22"/>
          <w:rtl/>
        </w:rPr>
        <w:t xml:space="preserve"> חל </w:t>
      </w:r>
      <w:r w:rsidRPr="00435653">
        <w:rPr>
          <w:rFonts w:ascii="Century" w:hAnsi="Century" w:cs="Miriam" w:hint="cs"/>
          <w:b/>
          <w:spacing w:val="0"/>
          <w:sz w:val="22"/>
          <w:szCs w:val="24"/>
          <w:rtl/>
        </w:rPr>
        <w:t>עקרון</w:t>
      </w:r>
      <w:r w:rsidRPr="00435653">
        <w:rPr>
          <w:rFonts w:ascii="Century" w:hAnsi="Century" w:hint="cs"/>
          <w:sz w:val="22"/>
          <w:rtl/>
        </w:rPr>
        <w:t xml:space="preserve"> </w:t>
      </w:r>
      <w:r w:rsidRPr="00435653">
        <w:rPr>
          <w:rFonts w:ascii="Century" w:hAnsi="Century" w:cs="Miriam" w:hint="cs"/>
          <w:b/>
          <w:spacing w:val="0"/>
          <w:sz w:val="22"/>
          <w:szCs w:val="24"/>
          <w:rtl/>
        </w:rPr>
        <w:t>הדואליות הנורמטיבית</w:t>
      </w:r>
      <w:r w:rsidRPr="00435653">
        <w:rPr>
          <w:rFonts w:ascii="Century" w:hAnsi="Century" w:hint="cs"/>
          <w:sz w:val="22"/>
          <w:rtl/>
        </w:rPr>
        <w:t xml:space="preserve"> (בג"ץ 4289/00 </w:t>
      </w:r>
      <w:r w:rsidRPr="00435653">
        <w:rPr>
          <w:rFonts w:ascii="Century" w:hAnsi="Century" w:cs="Miriam" w:hint="cs"/>
          <w:b/>
          <w:spacing w:val="0"/>
          <w:sz w:val="22"/>
          <w:szCs w:val="24"/>
          <w:rtl/>
        </w:rPr>
        <w:t>הדי נ' ראש ממשלת ישראל</w:t>
      </w:r>
      <w:r w:rsidRPr="00435653">
        <w:rPr>
          <w:rFonts w:ascii="Century" w:hAnsi="Century" w:hint="cs"/>
          <w:sz w:val="22"/>
          <w:rtl/>
        </w:rPr>
        <w:t xml:space="preserve">, פסקאות 35-34 (10.12.2009), והאסמכתאות שם; ע"א 3414/93 </w:t>
      </w:r>
      <w:r w:rsidRPr="00435653">
        <w:rPr>
          <w:rFonts w:ascii="Century" w:hAnsi="Century" w:cs="Miriam" w:hint="cs"/>
          <w:b/>
          <w:spacing w:val="0"/>
          <w:sz w:val="22"/>
          <w:szCs w:val="24"/>
          <w:rtl/>
        </w:rPr>
        <w:t>און נ' מפעלי בורסת היהלומים (1965) בע"מ</w:t>
      </w:r>
      <w:r w:rsidRPr="00435653">
        <w:rPr>
          <w:rFonts w:ascii="Century" w:hAnsi="Century" w:hint="cs"/>
          <w:sz w:val="22"/>
          <w:rtl/>
        </w:rPr>
        <w:t xml:space="preserve">, פ"ד מט(3) 196, 205-204 (1995) </w:t>
      </w:r>
      <w:r w:rsidRPr="00435653">
        <w:rPr>
          <w:rFonts w:ascii="Century" w:hAnsi="Century"/>
          <w:sz w:val="22"/>
          <w:rtl/>
        </w:rPr>
        <w:t>(</w:t>
      </w:r>
      <w:r w:rsidRPr="00435653">
        <w:rPr>
          <w:rFonts w:ascii="Century" w:hAnsi="Century" w:hint="eastAsia"/>
          <w:sz w:val="22"/>
          <w:rtl/>
        </w:rPr>
        <w:t>להלן</w:t>
      </w:r>
      <w:r w:rsidRPr="00435653">
        <w:rPr>
          <w:rFonts w:ascii="Century" w:hAnsi="Century"/>
          <w:sz w:val="22"/>
          <w:rtl/>
        </w:rPr>
        <w:t xml:space="preserve">: </w:t>
      </w:r>
      <w:r w:rsidRPr="00435653">
        <w:rPr>
          <w:rFonts w:ascii="Century" w:hAnsi="Century" w:cs="Miriam" w:hint="cs"/>
          <w:b/>
          <w:spacing w:val="0"/>
          <w:sz w:val="22"/>
          <w:szCs w:val="24"/>
          <w:rtl/>
        </w:rPr>
        <w:t>עניין און</w:t>
      </w:r>
      <w:r w:rsidRPr="00435653">
        <w:rPr>
          <w:rFonts w:ascii="Century" w:hAnsi="Century" w:hint="cs"/>
          <w:sz w:val="22"/>
          <w:rtl/>
        </w:rPr>
        <w:t xml:space="preserve">); </w:t>
      </w:r>
      <w:r w:rsidRPr="00435653">
        <w:rPr>
          <w:rFonts w:ascii="Century" w:hAnsi="Century" w:cs="Miriam" w:hint="cs"/>
          <w:b/>
          <w:spacing w:val="0"/>
          <w:sz w:val="22"/>
          <w:szCs w:val="24"/>
          <w:rtl/>
        </w:rPr>
        <w:t xml:space="preserve">ברק-ארז </w:t>
      </w:r>
      <w:r w:rsidRPr="00435653">
        <w:rPr>
          <w:rFonts w:ascii="Century" w:hAnsi="Century" w:cs="Miriam"/>
          <w:b/>
          <w:spacing w:val="0"/>
          <w:sz w:val="22"/>
          <w:szCs w:val="24"/>
          <w:rtl/>
        </w:rPr>
        <w:t>–</w:t>
      </w:r>
      <w:r w:rsidRPr="00435653">
        <w:rPr>
          <w:rFonts w:ascii="Century" w:hAnsi="Century" w:cs="Miriam" w:hint="cs"/>
          <w:b/>
          <w:spacing w:val="0"/>
          <w:sz w:val="22"/>
          <w:szCs w:val="24"/>
          <w:rtl/>
        </w:rPr>
        <w:t xml:space="preserve"> </w:t>
      </w:r>
      <w:proofErr w:type="spellStart"/>
      <w:r w:rsidRPr="00435653">
        <w:rPr>
          <w:rFonts w:ascii="Century" w:hAnsi="Century" w:cs="Miriam" w:hint="cs"/>
          <w:b/>
          <w:spacing w:val="0"/>
          <w:sz w:val="22"/>
          <w:szCs w:val="24"/>
          <w:rtl/>
        </w:rPr>
        <w:t>מינהלי</w:t>
      </w:r>
      <w:proofErr w:type="spellEnd"/>
      <w:r w:rsidRPr="00435653">
        <w:rPr>
          <w:rFonts w:ascii="Century" w:hAnsi="Century" w:cs="Miriam" w:hint="cs"/>
          <w:b/>
          <w:spacing w:val="0"/>
          <w:sz w:val="22"/>
          <w:szCs w:val="24"/>
          <w:rtl/>
        </w:rPr>
        <w:t>-כלכלי</w:t>
      </w:r>
      <w:r w:rsidRPr="00435653">
        <w:rPr>
          <w:rFonts w:ascii="Century" w:hAnsi="Century" w:hint="cs"/>
          <w:sz w:val="22"/>
          <w:rtl/>
        </w:rPr>
        <w:t xml:space="preserve">, בעמוד 501). הכוונה היא לכך שעקרונות המשפט </w:t>
      </w:r>
      <w:proofErr w:type="spellStart"/>
      <w:r w:rsidRPr="00435653">
        <w:rPr>
          <w:rFonts w:ascii="Century" w:hAnsi="Century" w:hint="cs"/>
          <w:sz w:val="22"/>
          <w:rtl/>
        </w:rPr>
        <w:t>המינהלי</w:t>
      </w:r>
      <w:proofErr w:type="spellEnd"/>
      <w:r w:rsidRPr="00435653">
        <w:rPr>
          <w:rFonts w:ascii="Century" w:hAnsi="Century" w:hint="cs"/>
          <w:sz w:val="22"/>
          <w:rtl/>
        </w:rPr>
        <w:t xml:space="preserve"> חלים על פעילותה של החברה במקביל לתחולתו של המשפט הפרטי עליה (שם, שם; </w:t>
      </w:r>
      <w:r>
        <w:rPr>
          <w:rFonts w:ascii="Century" w:hAnsi="Century" w:hint="cs"/>
          <w:sz w:val="22"/>
          <w:rtl/>
        </w:rPr>
        <w:t xml:space="preserve">ראו גם: </w:t>
      </w:r>
      <w:r w:rsidRPr="00435653">
        <w:rPr>
          <w:rFonts w:ascii="Century" w:hAnsi="Century" w:hint="cs"/>
          <w:sz w:val="22"/>
          <w:rtl/>
        </w:rPr>
        <w:t xml:space="preserve">דפנה ברק-ארז "השתחררות מחוזה של רשות מנהלית </w:t>
      </w:r>
      <w:r w:rsidRPr="00435653">
        <w:rPr>
          <w:rFonts w:ascii="Century" w:hAnsi="Century"/>
          <w:sz w:val="22"/>
          <w:rtl/>
        </w:rPr>
        <w:t>–</w:t>
      </w:r>
      <w:r w:rsidRPr="00435653">
        <w:rPr>
          <w:rFonts w:ascii="Century" w:hAnsi="Century" w:hint="cs"/>
          <w:sz w:val="22"/>
          <w:rtl/>
        </w:rPr>
        <w:t xml:space="preserve"> מקרה מבחן לדואליות הנורמטיבית" </w:t>
      </w:r>
      <w:r w:rsidRPr="00435653">
        <w:rPr>
          <w:rFonts w:ascii="Century" w:hAnsi="Century" w:cs="Miriam" w:hint="cs"/>
          <w:b/>
          <w:spacing w:val="0"/>
          <w:sz w:val="22"/>
          <w:szCs w:val="24"/>
          <w:rtl/>
        </w:rPr>
        <w:t>המשפט</w:t>
      </w:r>
      <w:r w:rsidRPr="00435653">
        <w:rPr>
          <w:rFonts w:ascii="Century" w:hAnsi="Century" w:hint="cs"/>
          <w:sz w:val="22"/>
          <w:rtl/>
        </w:rPr>
        <w:t xml:space="preserve"> י"א 111, 113 (2007)).</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מבלי להידרש לסיווגה של חברה ממשלתית פלונית כגוף דו-מהותי, נראה כי בראי הדואליות הפונקציונלית של החברות הממשלתיות, עקרון הדואליות הנורמטיבית עובר כחוט השני בחוק החברות הממשלתיות, זאת בשים לב לאופייה האמור של החברה הממשלתית, המצויה "</w:t>
      </w:r>
      <w:r w:rsidRPr="00435653">
        <w:rPr>
          <w:rFonts w:ascii="Century" w:hAnsi="Century" w:cs="Miriam" w:hint="cs"/>
          <w:b/>
          <w:spacing w:val="0"/>
          <w:sz w:val="22"/>
          <w:szCs w:val="24"/>
          <w:rtl/>
        </w:rPr>
        <w:t>[ב]אזור דמדומים</w:t>
      </w:r>
      <w:r w:rsidRPr="00435653">
        <w:rPr>
          <w:rFonts w:ascii="Century" w:hAnsi="Century" w:hint="cs"/>
          <w:sz w:val="22"/>
          <w:rtl/>
        </w:rPr>
        <w:t xml:space="preserve">" שבין המשפט הפרטי לבין המשפט הציבורי (עניין </w:t>
      </w:r>
      <w:r w:rsidRPr="00435653">
        <w:rPr>
          <w:rFonts w:ascii="Century" w:hAnsi="Century" w:cs="Miriam" w:hint="cs"/>
          <w:b/>
          <w:spacing w:val="0"/>
          <w:sz w:val="22"/>
          <w:szCs w:val="24"/>
          <w:rtl/>
        </w:rPr>
        <w:t>און</w:t>
      </w:r>
      <w:r w:rsidRPr="00435653">
        <w:rPr>
          <w:rFonts w:ascii="Century" w:hAnsi="Century" w:hint="cs"/>
          <w:sz w:val="22"/>
          <w:rtl/>
        </w:rPr>
        <w:t xml:space="preserve">, בפסקה 204; עניין </w:t>
      </w:r>
      <w:r w:rsidRPr="00435653">
        <w:rPr>
          <w:rFonts w:ascii="Century" w:hAnsi="Century" w:cs="Miriam" w:hint="cs"/>
          <w:b/>
          <w:spacing w:val="0"/>
          <w:sz w:val="22"/>
          <w:szCs w:val="24"/>
          <w:rtl/>
        </w:rPr>
        <w:t>רפאל</w:t>
      </w:r>
      <w:r w:rsidRPr="00435653">
        <w:rPr>
          <w:rFonts w:ascii="Century" w:hAnsi="Century" w:hint="cs"/>
          <w:sz w:val="22"/>
          <w:rtl/>
        </w:rPr>
        <w:t xml:space="preserve">, בפסקה 32; השוו: </w:t>
      </w:r>
      <w:proofErr w:type="spellStart"/>
      <w:r w:rsidRPr="00435653">
        <w:rPr>
          <w:rFonts w:ascii="Century" w:hAnsi="Century" w:cs="Miriam" w:hint="cs"/>
          <w:b/>
          <w:spacing w:val="0"/>
          <w:sz w:val="22"/>
          <w:szCs w:val="24"/>
          <w:rtl/>
        </w:rPr>
        <w:t>וינרוט</w:t>
      </w:r>
      <w:proofErr w:type="spellEnd"/>
      <w:r w:rsidRPr="00435653">
        <w:rPr>
          <w:rFonts w:ascii="Century" w:hAnsi="Century" w:hint="cs"/>
          <w:sz w:val="22"/>
          <w:rtl/>
        </w:rPr>
        <w:t xml:space="preserve">, בעמודים 20, 394-393). </w:t>
      </w:r>
    </w:p>
    <w:p w:rsidR="00433434" w:rsidRPr="00435653" w:rsidRDefault="008A79B6" w:rsidP="008A79B6">
      <w:pPr>
        <w:pStyle w:val="Ruller4"/>
        <w:numPr>
          <w:ilvl w:val="0"/>
          <w:numId w:val="0"/>
        </w:numPr>
        <w:spacing w:before="240" w:after="240"/>
        <w:rPr>
          <w:rFonts w:ascii="Century" w:hAnsi="Century"/>
          <w:sz w:val="22"/>
          <w:rtl/>
        </w:rPr>
      </w:pPr>
      <w:r>
        <w:rPr>
          <w:rFonts w:ascii="Century" w:hAnsi="Century"/>
          <w:sz w:val="22"/>
          <w:rtl/>
        </w:rPr>
        <w:tab/>
      </w:r>
      <w:r w:rsidR="00433434" w:rsidRPr="00435653">
        <w:rPr>
          <w:rFonts w:ascii="Century" w:hAnsi="Century" w:hint="cs"/>
          <w:sz w:val="22"/>
          <w:rtl/>
        </w:rPr>
        <w:t xml:space="preserve">ודוק: מצאתי להעיר, כי על אף הקרבה בין עקרון </w:t>
      </w:r>
      <w:r w:rsidR="00433434" w:rsidRPr="00435653">
        <w:rPr>
          <w:rFonts w:ascii="Century" w:hAnsi="Century" w:cs="Miriam" w:hint="cs"/>
          <w:b/>
          <w:spacing w:val="0"/>
          <w:sz w:val="22"/>
          <w:szCs w:val="24"/>
          <w:rtl/>
        </w:rPr>
        <w:t>הדואליות הנורמטיבית</w:t>
      </w:r>
      <w:r w:rsidR="00433434" w:rsidRPr="00435653">
        <w:rPr>
          <w:rFonts w:ascii="Century" w:hAnsi="Century" w:hint="cs"/>
          <w:sz w:val="22"/>
          <w:rtl/>
        </w:rPr>
        <w:t xml:space="preserve"> ובין דוקטרינת </w:t>
      </w:r>
      <w:r w:rsidR="00433434" w:rsidRPr="00435653">
        <w:rPr>
          <w:rFonts w:ascii="Century" w:hAnsi="Century" w:cs="Miriam" w:hint="cs"/>
          <w:b/>
          <w:spacing w:val="0"/>
          <w:sz w:val="22"/>
          <w:szCs w:val="24"/>
          <w:rtl/>
        </w:rPr>
        <w:t>הגופים הדו-מהותיים</w:t>
      </w:r>
      <w:r w:rsidR="00433434" w:rsidRPr="00435653">
        <w:rPr>
          <w:rFonts w:ascii="Century" w:hAnsi="Century" w:hint="cs"/>
          <w:sz w:val="22"/>
          <w:rtl/>
        </w:rPr>
        <w:t xml:space="preserve">, הרי שאין חד הם. הלוא, עקרון הדואליות הנורמטיבית עוסק במישור הדין החל ואילו דוקטרינת הגופים הדו-מהותיים עוסקת בסיווג הגוף בו </w:t>
      </w:r>
      <w:r w:rsidR="00433434" w:rsidRPr="00435653">
        <w:rPr>
          <w:rFonts w:ascii="Century" w:hAnsi="Century" w:hint="cs"/>
          <w:sz w:val="22"/>
          <w:rtl/>
        </w:rPr>
        <w:lastRenderedPageBreak/>
        <w:t xml:space="preserve">עסקינן. כך, על גוף שאופיין כדו-מהותי תחול דואליות נורמטיבית, אולם, גם מן העבר השני, על רשות </w:t>
      </w:r>
      <w:proofErr w:type="spellStart"/>
      <w:r w:rsidR="00433434" w:rsidRPr="00435653">
        <w:rPr>
          <w:rFonts w:ascii="Century" w:hAnsi="Century" w:hint="cs"/>
          <w:sz w:val="22"/>
          <w:rtl/>
        </w:rPr>
        <w:t>מינהלית</w:t>
      </w:r>
      <w:proofErr w:type="spellEnd"/>
      <w:r w:rsidR="00433434" w:rsidRPr="00435653">
        <w:rPr>
          <w:rFonts w:ascii="Century" w:hAnsi="Century" w:hint="cs"/>
          <w:sz w:val="22"/>
          <w:rtl/>
        </w:rPr>
        <w:t xml:space="preserve"> הפועלת בשדה המשפט הפרטי, חל עקרון זה (ראו למשל: ע"א 6328/97 </w:t>
      </w:r>
      <w:r w:rsidR="00433434" w:rsidRPr="00435653">
        <w:rPr>
          <w:rFonts w:ascii="Century" w:hAnsi="Century" w:cs="Miriam" w:hint="cs"/>
          <w:b/>
          <w:spacing w:val="0"/>
          <w:sz w:val="22"/>
          <w:szCs w:val="24"/>
          <w:rtl/>
        </w:rPr>
        <w:t>רגב נ' משרד הביטחון</w:t>
      </w:r>
      <w:r w:rsidR="00433434" w:rsidRPr="00435653">
        <w:rPr>
          <w:rFonts w:ascii="Century" w:hAnsi="Century" w:hint="cs"/>
          <w:sz w:val="22"/>
          <w:rtl/>
        </w:rPr>
        <w:t xml:space="preserve">, פ"ד נד(5) 506, 528-525 (2000); להרחבה, כמו גם לטענה כי מדובר בשני 'סוגים שונים' של דואליות נורמטיבית, ראו: אסף הראל </w:t>
      </w:r>
      <w:r w:rsidR="00433434" w:rsidRPr="00435653">
        <w:rPr>
          <w:rFonts w:ascii="Century" w:hAnsi="Century" w:cs="Miriam" w:hint="cs"/>
          <w:b/>
          <w:spacing w:val="0"/>
          <w:sz w:val="22"/>
          <w:szCs w:val="24"/>
          <w:rtl/>
        </w:rPr>
        <w:t xml:space="preserve">גופים ונושאי משרה דו-מהותיים </w:t>
      </w:r>
      <w:r w:rsidR="00433434" w:rsidRPr="00435653">
        <w:rPr>
          <w:rFonts w:ascii="Century" w:hAnsi="Century" w:hint="cs"/>
          <w:sz w:val="22"/>
          <w:rtl/>
        </w:rPr>
        <w:t xml:space="preserve">205-200 (מהדורה שנייה 2019)). </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אין כל כוונה לומר כי המשפט </w:t>
      </w:r>
      <w:proofErr w:type="spellStart"/>
      <w:r w:rsidRPr="00435653">
        <w:rPr>
          <w:rFonts w:ascii="Century" w:hAnsi="Century" w:hint="cs"/>
          <w:sz w:val="22"/>
          <w:rtl/>
        </w:rPr>
        <w:t>המינהלי</w:t>
      </w:r>
      <w:proofErr w:type="spellEnd"/>
      <w:r w:rsidRPr="00435653">
        <w:rPr>
          <w:rFonts w:ascii="Century" w:hAnsi="Century" w:hint="cs"/>
          <w:sz w:val="22"/>
          <w:rtl/>
        </w:rPr>
        <w:t xml:space="preserve">, בטהרתו, חל על כל חברה ממשלתית באשר היא. כך, גם אין כל כוונה להידרש לדרך שבה יש לסווג חברה ממשלתית פלונית כגוף דו מהותי. ואולם, מחוק החברות הממשלתיות עולה כי המחוקק ביקש לעסוק הן בפן </w:t>
      </w:r>
      <w:proofErr w:type="spellStart"/>
      <w:r w:rsidRPr="00435653">
        <w:rPr>
          <w:rFonts w:ascii="Century" w:hAnsi="Century" w:cs="Miriam" w:hint="cs"/>
          <w:b/>
          <w:spacing w:val="0"/>
          <w:sz w:val="22"/>
          <w:szCs w:val="24"/>
          <w:rtl/>
        </w:rPr>
        <w:t>המינהלי</w:t>
      </w:r>
      <w:proofErr w:type="spellEnd"/>
      <w:r w:rsidRPr="00435653">
        <w:rPr>
          <w:rFonts w:ascii="Century" w:hAnsi="Century" w:hint="cs"/>
          <w:sz w:val="22"/>
          <w:rtl/>
        </w:rPr>
        <w:t xml:space="preserve"> של החברה הממשלתית, דהיינו </w:t>
      </w:r>
      <w:r w:rsidRPr="00435653">
        <w:rPr>
          <w:rFonts w:ascii="Century" w:hAnsi="Century"/>
          <w:sz w:val="22"/>
          <w:rtl/>
        </w:rPr>
        <w:t>–</w:t>
      </w:r>
      <w:r w:rsidRPr="00435653">
        <w:rPr>
          <w:rFonts w:ascii="Century" w:hAnsi="Century" w:hint="cs"/>
          <w:sz w:val="22"/>
          <w:rtl/>
        </w:rPr>
        <w:t xml:space="preserve"> להסדיר באופן </w:t>
      </w:r>
      <w:r w:rsidRPr="00435653">
        <w:rPr>
          <w:rFonts w:ascii="Century" w:hAnsi="Century" w:cs="Miriam" w:hint="cs"/>
          <w:b/>
          <w:spacing w:val="0"/>
          <w:sz w:val="22"/>
          <w:szCs w:val="24"/>
          <w:rtl/>
        </w:rPr>
        <w:t>חיצוני</w:t>
      </w:r>
      <w:r w:rsidRPr="00435653">
        <w:rPr>
          <w:rFonts w:ascii="Century" w:hAnsi="Century" w:hint="cs"/>
          <w:sz w:val="22"/>
          <w:rtl/>
        </w:rPr>
        <w:t xml:space="preserve"> את שליטתה של ממשלת ישראל בחברה הממשלתית, בעבור </w:t>
      </w:r>
      <w:r w:rsidRPr="00435653">
        <w:rPr>
          <w:rFonts w:ascii="Century" w:hAnsi="Century" w:cs="Miriam" w:hint="cs"/>
          <w:b/>
          <w:spacing w:val="0"/>
          <w:sz w:val="22"/>
          <w:szCs w:val="24"/>
          <w:rtl/>
        </w:rPr>
        <w:t>מדינת ישראל והציבור הישראלי</w:t>
      </w:r>
      <w:r w:rsidRPr="00435653">
        <w:rPr>
          <w:rFonts w:ascii="Century" w:hAnsi="Century" w:hint="cs"/>
          <w:sz w:val="22"/>
          <w:rtl/>
        </w:rPr>
        <w:t xml:space="preserve">, על ידי פיקוח על התנהלותה ועל הנהלתה; הן בפן </w:t>
      </w:r>
      <w:r w:rsidRPr="00435653">
        <w:rPr>
          <w:rFonts w:ascii="Century" w:hAnsi="Century" w:cs="Miriam" w:hint="cs"/>
          <w:b/>
          <w:spacing w:val="0"/>
          <w:sz w:val="22"/>
          <w:szCs w:val="24"/>
          <w:rtl/>
        </w:rPr>
        <w:t>התאגידי</w:t>
      </w:r>
      <w:r w:rsidRPr="00435653">
        <w:rPr>
          <w:rFonts w:ascii="Century" w:hAnsi="Century" w:hint="cs"/>
          <w:sz w:val="22"/>
          <w:rtl/>
        </w:rPr>
        <w:t xml:space="preserve"> של החברה הממשלתית, דהיינו </w:t>
      </w:r>
      <w:r w:rsidRPr="00435653">
        <w:rPr>
          <w:rFonts w:ascii="Century" w:hAnsi="Century"/>
          <w:sz w:val="22"/>
          <w:rtl/>
        </w:rPr>
        <w:t>–</w:t>
      </w:r>
      <w:r w:rsidRPr="00435653">
        <w:rPr>
          <w:rFonts w:ascii="Century" w:hAnsi="Century" w:hint="cs"/>
          <w:sz w:val="22"/>
          <w:rtl/>
        </w:rPr>
        <w:t xml:space="preserve"> להסדיר באופן </w:t>
      </w:r>
      <w:r w:rsidRPr="00435653">
        <w:rPr>
          <w:rFonts w:ascii="Century" w:hAnsi="Century" w:cs="Miriam" w:hint="cs"/>
          <w:b/>
          <w:spacing w:val="0"/>
          <w:sz w:val="22"/>
          <w:szCs w:val="24"/>
          <w:rtl/>
        </w:rPr>
        <w:t>פנימי</w:t>
      </w:r>
      <w:r w:rsidRPr="00435653">
        <w:rPr>
          <w:rFonts w:ascii="Century" w:hAnsi="Century" w:hint="cs"/>
          <w:sz w:val="22"/>
          <w:rtl/>
        </w:rPr>
        <w:t xml:space="preserve"> את הממשל התאגידי של החברה הממשלתית, את חובות האורגנים שלה כלפיה, את התנהלותה השוטפת ועוד. </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לא זו אף זו. מעבר לאמור בחוק החברות הממשלתיות, אפיון הדין החל על חברה ממשלתית כבעל דואליות נורמטיבית מוביל לכך, שמעל הפעלת סמכויות הרשויות הציבוריות ביחס לחברה הממשלתית (למשל, הסמכויות הנתונות בידי השרים והרשות) </w:t>
      </w:r>
      <w:r w:rsidRPr="00435653">
        <w:rPr>
          <w:rFonts w:ascii="Century" w:hAnsi="Century"/>
          <w:sz w:val="22"/>
          <w:rtl/>
        </w:rPr>
        <w:t>–</w:t>
      </w:r>
      <w:r w:rsidRPr="00435653">
        <w:rPr>
          <w:rFonts w:ascii="Century" w:hAnsi="Century" w:hint="cs"/>
          <w:sz w:val="22"/>
          <w:rtl/>
        </w:rPr>
        <w:t xml:space="preserve"> מרחפים באופן תמידי עקרונות המשפט </w:t>
      </w:r>
      <w:proofErr w:type="spellStart"/>
      <w:r w:rsidRPr="00435653">
        <w:rPr>
          <w:rFonts w:ascii="Century" w:hAnsi="Century" w:hint="cs"/>
          <w:sz w:val="22"/>
          <w:rtl/>
        </w:rPr>
        <w:t>המינהלי</w:t>
      </w:r>
      <w:proofErr w:type="spellEnd"/>
      <w:r w:rsidRPr="00435653">
        <w:rPr>
          <w:rFonts w:ascii="Century" w:hAnsi="Century" w:hint="cs"/>
          <w:sz w:val="22"/>
          <w:rtl/>
        </w:rPr>
        <w:t xml:space="preserve">; וכך, גם מעל לפעילות המדינה כבעלת שליטה בחברה הממשלתית, מרחפים עקרונות דיני החברות. </w:t>
      </w:r>
    </w:p>
    <w:p w:rsidR="00433434" w:rsidRPr="00435653" w:rsidRDefault="008A79B6" w:rsidP="008A79B6">
      <w:pPr>
        <w:pStyle w:val="Ruller4"/>
        <w:numPr>
          <w:ilvl w:val="0"/>
          <w:numId w:val="0"/>
        </w:numPr>
        <w:spacing w:before="240" w:after="240"/>
        <w:rPr>
          <w:rFonts w:ascii="Century" w:hAnsi="Century"/>
          <w:sz w:val="22"/>
          <w:rtl/>
        </w:rPr>
      </w:pPr>
      <w:r>
        <w:rPr>
          <w:rFonts w:ascii="Century" w:hAnsi="Century"/>
          <w:sz w:val="22"/>
          <w:rtl/>
        </w:rPr>
        <w:tab/>
      </w:r>
      <w:r w:rsidR="00433434" w:rsidRPr="00435653">
        <w:rPr>
          <w:rFonts w:ascii="Century" w:hAnsi="Century" w:hint="cs"/>
          <w:sz w:val="22"/>
          <w:rtl/>
        </w:rPr>
        <w:t>חוק החברות הממשלתיות, אם כן, מבקש כאמור להביא לידי ביטוי, את כלל עקרונות אלה גם יחד וליישב את 'הפרדוקס' הטבעי שגלום בחברה הממשלתית (</w:t>
      </w:r>
      <w:r w:rsidR="00433434" w:rsidRPr="00435653">
        <w:rPr>
          <w:rFonts w:ascii="Century" w:hAnsi="Century" w:cs="Miriam" w:hint="cs"/>
          <w:b/>
          <w:spacing w:val="0"/>
          <w:sz w:val="22"/>
          <w:szCs w:val="24"/>
          <w:rtl/>
        </w:rPr>
        <w:t>הצעת חוק החברות הממשלתיות</w:t>
      </w:r>
      <w:r w:rsidR="00433434" w:rsidRPr="00435653">
        <w:rPr>
          <w:rFonts w:ascii="Century" w:hAnsi="Century" w:hint="cs"/>
          <w:sz w:val="22"/>
          <w:rtl/>
        </w:rPr>
        <w:t xml:space="preserve">, בעמוד 314; יוסף גרוס "החברה הממשלתית" </w:t>
      </w:r>
      <w:r w:rsidR="00433434" w:rsidRPr="00435653">
        <w:rPr>
          <w:rFonts w:ascii="Century" w:hAnsi="Century" w:cs="Miriam" w:hint="cs"/>
          <w:b/>
          <w:spacing w:val="0"/>
          <w:sz w:val="22"/>
          <w:szCs w:val="24"/>
          <w:rtl/>
        </w:rPr>
        <w:t>הפרקליט</w:t>
      </w:r>
      <w:r w:rsidR="00433434" w:rsidRPr="00435653">
        <w:rPr>
          <w:rFonts w:ascii="Century" w:hAnsi="Century" w:hint="cs"/>
          <w:sz w:val="22"/>
          <w:rtl/>
        </w:rPr>
        <w:t xml:space="preserve"> ל 493, 494 (1975) </w:t>
      </w:r>
      <w:r w:rsidR="00433434" w:rsidRPr="00435653">
        <w:rPr>
          <w:rFonts w:ascii="Century" w:hAnsi="Century"/>
          <w:sz w:val="22"/>
          <w:rtl/>
        </w:rPr>
        <w:t>(</w:t>
      </w:r>
      <w:r w:rsidR="00433434" w:rsidRPr="00435653">
        <w:rPr>
          <w:rFonts w:ascii="Century" w:hAnsi="Century" w:hint="eastAsia"/>
          <w:sz w:val="22"/>
          <w:rtl/>
        </w:rPr>
        <w:t>להלן</w:t>
      </w:r>
      <w:r w:rsidR="00433434" w:rsidRPr="00435653">
        <w:rPr>
          <w:rFonts w:ascii="Century" w:hAnsi="Century"/>
          <w:sz w:val="22"/>
          <w:rtl/>
        </w:rPr>
        <w:t xml:space="preserve">: </w:t>
      </w:r>
      <w:r w:rsidR="00433434" w:rsidRPr="00435653">
        <w:rPr>
          <w:rFonts w:ascii="Century" w:hAnsi="Century" w:cs="Miriam" w:hint="cs"/>
          <w:b/>
          <w:spacing w:val="0"/>
          <w:sz w:val="22"/>
          <w:szCs w:val="24"/>
          <w:rtl/>
        </w:rPr>
        <w:t xml:space="preserve">גרוס </w:t>
      </w:r>
      <w:r w:rsidR="00433434" w:rsidRPr="00435653">
        <w:rPr>
          <w:rFonts w:ascii="Century" w:hAnsi="Century" w:cs="Miriam"/>
          <w:b/>
          <w:spacing w:val="0"/>
          <w:sz w:val="22"/>
          <w:szCs w:val="24"/>
          <w:rtl/>
        </w:rPr>
        <w:t>–</w:t>
      </w:r>
      <w:r w:rsidR="00433434" w:rsidRPr="00435653">
        <w:rPr>
          <w:rFonts w:ascii="Century" w:hAnsi="Century" w:cs="Miriam" w:hint="cs"/>
          <w:b/>
          <w:spacing w:val="0"/>
          <w:sz w:val="22"/>
          <w:szCs w:val="24"/>
          <w:rtl/>
        </w:rPr>
        <w:t xml:space="preserve"> החברה הממשלתית</w:t>
      </w:r>
      <w:r w:rsidR="00433434" w:rsidRPr="00435653">
        <w:rPr>
          <w:rFonts w:ascii="Century" w:hAnsi="Century" w:hint="cs"/>
          <w:sz w:val="22"/>
          <w:rtl/>
        </w:rPr>
        <w:t xml:space="preserve">); </w:t>
      </w:r>
      <w:proofErr w:type="spellStart"/>
      <w:r w:rsidR="00433434" w:rsidRPr="00435653">
        <w:rPr>
          <w:rFonts w:ascii="Century" w:hAnsi="Century" w:cs="Miriam" w:hint="cs"/>
          <w:b/>
          <w:spacing w:val="0"/>
          <w:sz w:val="22"/>
          <w:szCs w:val="24"/>
          <w:rtl/>
        </w:rPr>
        <w:t>וינרוט</w:t>
      </w:r>
      <w:proofErr w:type="spellEnd"/>
      <w:r w:rsidR="00433434" w:rsidRPr="00435653">
        <w:rPr>
          <w:rFonts w:ascii="Century" w:hAnsi="Century" w:hint="cs"/>
          <w:sz w:val="22"/>
          <w:rtl/>
        </w:rPr>
        <w:t xml:space="preserve">, בעמודים 40 ו-48). </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שני מובנים אלה, המובן התאגידי והמובן </w:t>
      </w:r>
      <w:proofErr w:type="spellStart"/>
      <w:r w:rsidRPr="00435653">
        <w:rPr>
          <w:rFonts w:ascii="Century" w:hAnsi="Century" w:hint="cs"/>
          <w:sz w:val="22"/>
          <w:rtl/>
        </w:rPr>
        <w:t>המינהלי</w:t>
      </w:r>
      <w:proofErr w:type="spellEnd"/>
      <w:r w:rsidRPr="00435653">
        <w:rPr>
          <w:rFonts w:ascii="Century" w:hAnsi="Century" w:hint="cs"/>
          <w:sz w:val="22"/>
          <w:rtl/>
        </w:rPr>
        <w:t xml:space="preserve">, של הדין החל על חברות ממשלתיות כוללים מאפיינים של יחסי </w:t>
      </w:r>
      <w:proofErr w:type="spellStart"/>
      <w:r w:rsidRPr="00435653">
        <w:rPr>
          <w:rFonts w:ascii="Century" w:hAnsi="Century" w:cs="Miriam" w:hint="cs"/>
          <w:b/>
          <w:spacing w:val="0"/>
          <w:sz w:val="22"/>
          <w:szCs w:val="24"/>
          <w:rtl/>
        </w:rPr>
        <w:t>אמונאות</w:t>
      </w:r>
      <w:proofErr w:type="spellEnd"/>
      <w:r w:rsidRPr="00435653">
        <w:rPr>
          <w:rFonts w:ascii="Century" w:hAnsi="Century" w:hint="cs"/>
          <w:sz w:val="22"/>
          <w:rtl/>
        </w:rPr>
        <w:t xml:space="preserve"> (עמיר </w:t>
      </w:r>
      <w:proofErr w:type="spellStart"/>
      <w:r w:rsidRPr="00435653">
        <w:rPr>
          <w:rFonts w:ascii="Century" w:hAnsi="Century" w:hint="cs"/>
          <w:sz w:val="22"/>
          <w:rtl/>
        </w:rPr>
        <w:t>ליכט</w:t>
      </w:r>
      <w:proofErr w:type="spellEnd"/>
      <w:r w:rsidRPr="00435653">
        <w:rPr>
          <w:rFonts w:ascii="Century" w:hAnsi="Century" w:hint="cs"/>
          <w:sz w:val="22"/>
          <w:rtl/>
        </w:rPr>
        <w:t xml:space="preserve"> "יחסי </w:t>
      </w:r>
      <w:proofErr w:type="spellStart"/>
      <w:r w:rsidRPr="00435653">
        <w:rPr>
          <w:rFonts w:ascii="Century" w:hAnsi="Century" w:hint="cs"/>
          <w:sz w:val="22"/>
          <w:rtl/>
        </w:rPr>
        <w:t>אמונאות</w:t>
      </w:r>
      <w:proofErr w:type="spellEnd"/>
      <w:r w:rsidRPr="00435653">
        <w:rPr>
          <w:rFonts w:ascii="Century" w:hAnsi="Century" w:hint="cs"/>
          <w:sz w:val="22"/>
          <w:rtl/>
        </w:rPr>
        <w:t xml:space="preserve"> בתאגיד </w:t>
      </w:r>
      <w:r w:rsidRPr="00435653">
        <w:rPr>
          <w:rFonts w:ascii="Century" w:hAnsi="Century"/>
          <w:sz w:val="22"/>
          <w:rtl/>
        </w:rPr>
        <w:t>–</w:t>
      </w:r>
      <w:r w:rsidRPr="00435653">
        <w:rPr>
          <w:rFonts w:ascii="Century" w:hAnsi="Century" w:hint="cs"/>
          <w:sz w:val="22"/>
          <w:rtl/>
        </w:rPr>
        <w:t xml:space="preserve"> חובת האמון" </w:t>
      </w:r>
      <w:r w:rsidRPr="00435653">
        <w:rPr>
          <w:rFonts w:ascii="Century" w:hAnsi="Century" w:cs="Miriam" w:hint="cs"/>
          <w:b/>
          <w:spacing w:val="0"/>
          <w:sz w:val="22"/>
          <w:szCs w:val="24"/>
          <w:rtl/>
        </w:rPr>
        <w:t xml:space="preserve">משפט ועסקים </w:t>
      </w:r>
      <w:r w:rsidRPr="00435653">
        <w:rPr>
          <w:rFonts w:ascii="Century" w:hAnsi="Century" w:hint="cs"/>
          <w:sz w:val="22"/>
          <w:rtl/>
        </w:rPr>
        <w:t xml:space="preserve">י"ח 237, 239-238 (2014); יפעת נפתלי בן ציון </w:t>
      </w:r>
      <w:r w:rsidRPr="00435653">
        <w:rPr>
          <w:rFonts w:ascii="Century" w:hAnsi="Century" w:cs="Miriam" w:hint="cs"/>
          <w:b/>
          <w:spacing w:val="0"/>
          <w:sz w:val="22"/>
          <w:szCs w:val="24"/>
          <w:rtl/>
        </w:rPr>
        <w:t xml:space="preserve">דיני </w:t>
      </w:r>
      <w:proofErr w:type="spellStart"/>
      <w:r w:rsidRPr="00435653">
        <w:rPr>
          <w:rFonts w:ascii="Century" w:hAnsi="Century" w:cs="Miriam" w:hint="cs"/>
          <w:b/>
          <w:spacing w:val="0"/>
          <w:sz w:val="22"/>
          <w:szCs w:val="24"/>
          <w:rtl/>
        </w:rPr>
        <w:t>האמונאות</w:t>
      </w:r>
      <w:proofErr w:type="spellEnd"/>
      <w:r w:rsidRPr="00435653">
        <w:rPr>
          <w:rFonts w:ascii="Century" w:hAnsi="Century" w:cs="Miriam" w:hint="cs"/>
          <w:b/>
          <w:spacing w:val="0"/>
          <w:sz w:val="22"/>
          <w:szCs w:val="24"/>
          <w:rtl/>
        </w:rPr>
        <w:t xml:space="preserve"> במבט השוואתי </w:t>
      </w:r>
      <w:r w:rsidRPr="00435653">
        <w:rPr>
          <w:rFonts w:ascii="Century" w:hAnsi="Century" w:cs="Miriam"/>
          <w:b/>
          <w:spacing w:val="0"/>
          <w:sz w:val="22"/>
          <w:szCs w:val="24"/>
          <w:rtl/>
        </w:rPr>
        <w:t>–</w:t>
      </w:r>
      <w:r w:rsidRPr="00435653">
        <w:rPr>
          <w:rFonts w:ascii="Century" w:hAnsi="Century" w:cs="Miriam" w:hint="cs"/>
          <w:b/>
          <w:spacing w:val="0"/>
          <w:sz w:val="22"/>
          <w:szCs w:val="24"/>
          <w:rtl/>
        </w:rPr>
        <w:t xml:space="preserve"> על תאוריה משפטית, פסיקה ומה שביניהן</w:t>
      </w:r>
      <w:r w:rsidRPr="00435653">
        <w:rPr>
          <w:rFonts w:ascii="Century" w:hAnsi="Century" w:hint="cs"/>
          <w:sz w:val="22"/>
          <w:rtl/>
        </w:rPr>
        <w:t xml:space="preserve"> 33-32 (2022); עניין </w:t>
      </w:r>
      <w:proofErr w:type="spellStart"/>
      <w:r w:rsidRPr="00435653">
        <w:rPr>
          <w:rFonts w:ascii="Century" w:hAnsi="Century" w:cs="Miriam" w:hint="cs"/>
          <w:b/>
          <w:spacing w:val="0"/>
          <w:sz w:val="22"/>
          <w:szCs w:val="24"/>
          <w:rtl/>
        </w:rPr>
        <w:t>קוסוי</w:t>
      </w:r>
      <w:proofErr w:type="spellEnd"/>
      <w:r w:rsidRPr="00435653">
        <w:rPr>
          <w:rFonts w:ascii="Century" w:hAnsi="Century" w:hint="cs"/>
          <w:sz w:val="22"/>
          <w:rtl/>
        </w:rPr>
        <w:t xml:space="preserve">, בעמודים 278-277; </w:t>
      </w:r>
      <w:proofErr w:type="spellStart"/>
      <w:r w:rsidRPr="00435653">
        <w:rPr>
          <w:rFonts w:ascii="Century" w:hAnsi="Century" w:cs="Miriam" w:hint="cs"/>
          <w:b/>
          <w:spacing w:val="0"/>
          <w:sz w:val="22"/>
          <w:szCs w:val="24"/>
          <w:rtl/>
        </w:rPr>
        <w:t>וינרוט</w:t>
      </w:r>
      <w:proofErr w:type="spellEnd"/>
      <w:r w:rsidRPr="00435653">
        <w:rPr>
          <w:rFonts w:ascii="Century" w:hAnsi="Century" w:hint="cs"/>
          <w:sz w:val="22"/>
          <w:rtl/>
        </w:rPr>
        <w:t>, בעמודים 106-102). זאת, בראי הצורך האמור לרסן את כוחם של הנציגים השונים הפועלים בסביבת החברה הממשלתית, מתוך ההבנה כי "</w:t>
      </w:r>
      <w:r w:rsidRPr="00435653">
        <w:rPr>
          <w:rFonts w:ascii="Century" w:hAnsi="Century" w:cs="Miriam" w:hint="cs"/>
          <w:b/>
          <w:spacing w:val="0"/>
          <w:sz w:val="22"/>
          <w:szCs w:val="24"/>
          <w:rtl/>
        </w:rPr>
        <w:t>כוח ללא אחריות משול להפקרות</w:t>
      </w:r>
      <w:r w:rsidRPr="00435653">
        <w:rPr>
          <w:rFonts w:ascii="Century" w:hAnsi="Century" w:hint="cs"/>
          <w:sz w:val="22"/>
          <w:rtl/>
        </w:rPr>
        <w:t xml:space="preserve">" (אוריאל </w:t>
      </w:r>
      <w:proofErr w:type="spellStart"/>
      <w:r w:rsidRPr="00435653">
        <w:rPr>
          <w:rFonts w:ascii="Century" w:hAnsi="Century" w:hint="cs"/>
          <w:sz w:val="22"/>
          <w:rtl/>
        </w:rPr>
        <w:t>פרוקצ'יה</w:t>
      </w:r>
      <w:proofErr w:type="spellEnd"/>
      <w:r w:rsidRPr="00435653">
        <w:rPr>
          <w:rFonts w:ascii="Century" w:hAnsi="Century" w:hint="cs"/>
          <w:sz w:val="22"/>
          <w:rtl/>
        </w:rPr>
        <w:t xml:space="preserve"> "פירוק חברה לפי בקשת מיעוט בעלי המניות" </w:t>
      </w:r>
      <w:r w:rsidRPr="00435653">
        <w:rPr>
          <w:rFonts w:ascii="Century" w:hAnsi="Century" w:cs="Miriam" w:hint="cs"/>
          <w:b/>
          <w:spacing w:val="0"/>
          <w:sz w:val="22"/>
          <w:szCs w:val="24"/>
          <w:rtl/>
        </w:rPr>
        <w:t>משפטים</w:t>
      </w:r>
      <w:r w:rsidRPr="00435653">
        <w:rPr>
          <w:rFonts w:ascii="Century" w:hAnsi="Century" w:hint="cs"/>
          <w:sz w:val="22"/>
          <w:rtl/>
        </w:rPr>
        <w:t xml:space="preserve"> ח 13, 17 (1978)).</w:t>
      </w:r>
    </w:p>
    <w:p w:rsidR="00433434" w:rsidRPr="00435653" w:rsidRDefault="008A79B6" w:rsidP="008A79B6">
      <w:pPr>
        <w:pStyle w:val="Ruller4"/>
        <w:numPr>
          <w:ilvl w:val="0"/>
          <w:numId w:val="0"/>
        </w:numPr>
        <w:spacing w:before="240" w:after="240"/>
        <w:rPr>
          <w:rFonts w:ascii="Century" w:hAnsi="Century"/>
          <w:sz w:val="22"/>
          <w:rtl/>
        </w:rPr>
      </w:pPr>
      <w:r>
        <w:rPr>
          <w:rtl/>
        </w:rPr>
        <w:lastRenderedPageBreak/>
        <w:tab/>
      </w:r>
      <w:r>
        <w:rPr>
          <w:rFonts w:hint="cs"/>
          <w:rtl/>
        </w:rPr>
        <w:t>ב</w:t>
      </w:r>
      <w:r w:rsidR="00433434" w:rsidRPr="00435653">
        <w:rPr>
          <w:rFonts w:hint="cs"/>
          <w:rtl/>
        </w:rPr>
        <w:t xml:space="preserve">הקשר זה יצוין, כי בעבר נטען כי המושג "חברה ממשלתית" אינו מדויק; שכן, הבעלות בחברה הממשלתית מצויה בידי </w:t>
      </w:r>
      <w:r w:rsidR="00433434" w:rsidRPr="00435653">
        <w:rPr>
          <w:rFonts w:ascii="Century" w:hAnsi="Century" w:cs="Miriam" w:hint="cs"/>
          <w:b/>
          <w:spacing w:val="0"/>
          <w:szCs w:val="24"/>
          <w:rtl/>
        </w:rPr>
        <w:t>המדינה</w:t>
      </w:r>
      <w:r w:rsidR="00433434" w:rsidRPr="00435653">
        <w:rPr>
          <w:rFonts w:ascii="Century" w:hAnsi="Century" w:hint="cs"/>
          <w:rtl/>
        </w:rPr>
        <w:t xml:space="preserve">, ואילו בידי </w:t>
      </w:r>
      <w:r w:rsidR="00433434" w:rsidRPr="00435653">
        <w:rPr>
          <w:rFonts w:ascii="Century" w:hAnsi="Century" w:cs="Miriam" w:hint="cs"/>
          <w:b/>
          <w:spacing w:val="0"/>
          <w:szCs w:val="24"/>
          <w:rtl/>
        </w:rPr>
        <w:t>הממשלה</w:t>
      </w:r>
      <w:r w:rsidR="00433434" w:rsidRPr="00435653">
        <w:rPr>
          <w:rFonts w:ascii="Century" w:hAnsi="Century" w:hint="cs"/>
          <w:rtl/>
        </w:rPr>
        <w:t xml:space="preserve">, המהווה </w:t>
      </w:r>
      <w:r w:rsidR="00433434" w:rsidRPr="00435653">
        <w:rPr>
          <w:rFonts w:ascii="Century" w:hAnsi="Century" w:hint="cs"/>
          <w:sz w:val="22"/>
          <w:rtl/>
        </w:rPr>
        <w:t xml:space="preserve">אורגן של המדינה, </w:t>
      </w:r>
      <w:r w:rsidR="00433434" w:rsidRPr="00435653">
        <w:rPr>
          <w:rFonts w:ascii="Century" w:hAnsi="Century" w:hint="cs"/>
          <w:rtl/>
        </w:rPr>
        <w:t>נמסרה בנאמנות רק השליטה בה (</w:t>
      </w:r>
      <w:r w:rsidR="00433434" w:rsidRPr="00435653">
        <w:rPr>
          <w:rFonts w:ascii="Century" w:hAnsi="Century" w:hint="cs"/>
          <w:sz w:val="22"/>
          <w:rtl/>
        </w:rPr>
        <w:t xml:space="preserve">ראו: </w:t>
      </w:r>
      <w:r w:rsidR="00433434" w:rsidRPr="00435653">
        <w:rPr>
          <w:rFonts w:ascii="Century" w:hAnsi="Century" w:cs="Miriam" w:hint="cs"/>
          <w:b/>
          <w:spacing w:val="0"/>
          <w:sz w:val="22"/>
          <w:szCs w:val="24"/>
          <w:rtl/>
        </w:rPr>
        <w:t>זמיר</w:t>
      </w:r>
      <w:r w:rsidR="00433434" w:rsidRPr="00435653">
        <w:rPr>
          <w:rFonts w:ascii="Century" w:hAnsi="Century" w:hint="cs"/>
          <w:sz w:val="22"/>
          <w:rtl/>
        </w:rPr>
        <w:t xml:space="preserve">, בעמוד 497, </w:t>
      </w:r>
      <w:proofErr w:type="spellStart"/>
      <w:r w:rsidR="00433434" w:rsidRPr="00435653">
        <w:rPr>
          <w:rFonts w:ascii="Century" w:hAnsi="Century" w:hint="cs"/>
          <w:sz w:val="22"/>
          <w:rtl/>
        </w:rPr>
        <w:t>ה"ש</w:t>
      </w:r>
      <w:proofErr w:type="spellEnd"/>
      <w:r w:rsidR="00433434" w:rsidRPr="00435653">
        <w:rPr>
          <w:rFonts w:ascii="Century" w:hAnsi="Century" w:hint="cs"/>
          <w:sz w:val="22"/>
          <w:rtl/>
        </w:rPr>
        <w:t xml:space="preserve"> 9</w:t>
      </w:r>
      <w:r w:rsidR="00433434" w:rsidRPr="00435653">
        <w:rPr>
          <w:rFonts w:ascii="Century" w:hAnsi="Century" w:hint="cs"/>
          <w:rtl/>
        </w:rPr>
        <w:t xml:space="preserve">; </w:t>
      </w:r>
      <w:proofErr w:type="spellStart"/>
      <w:r w:rsidR="00433434" w:rsidRPr="00435653">
        <w:rPr>
          <w:rFonts w:ascii="Century" w:hAnsi="Century" w:cs="Miriam" w:hint="cs"/>
          <w:b/>
          <w:spacing w:val="0"/>
          <w:sz w:val="22"/>
          <w:szCs w:val="24"/>
          <w:rtl/>
        </w:rPr>
        <w:t>וינרוט</w:t>
      </w:r>
      <w:proofErr w:type="spellEnd"/>
      <w:r w:rsidR="00433434" w:rsidRPr="00435653">
        <w:rPr>
          <w:rFonts w:ascii="Century" w:hAnsi="Century" w:hint="cs"/>
          <w:sz w:val="22"/>
          <w:rtl/>
        </w:rPr>
        <w:t>, בעמוד 189)</w:t>
      </w:r>
      <w:r w:rsidR="00433434" w:rsidRPr="00435653">
        <w:rPr>
          <w:rFonts w:hint="cs"/>
          <w:rtl/>
        </w:rPr>
        <w:t xml:space="preserve">; לכן, </w:t>
      </w:r>
      <w:r w:rsidR="00433434">
        <w:rPr>
          <w:rFonts w:hint="cs"/>
          <w:rtl/>
        </w:rPr>
        <w:t xml:space="preserve">עוד במסגרת </w:t>
      </w:r>
      <w:r w:rsidR="00433434" w:rsidRPr="00861B1D">
        <w:rPr>
          <w:rFonts w:ascii="Century" w:hAnsi="Century" w:cs="Miriam" w:hint="cs"/>
          <w:b/>
          <w:spacing w:val="0"/>
          <w:sz w:val="22"/>
          <w:szCs w:val="24"/>
          <w:rtl/>
        </w:rPr>
        <w:t>דו"ח ועדת ברק</w:t>
      </w:r>
      <w:r w:rsidR="00433434" w:rsidRPr="00861B1D">
        <w:rPr>
          <w:rFonts w:hint="cs"/>
          <w:rtl/>
        </w:rPr>
        <w:t xml:space="preserve"> </w:t>
      </w:r>
      <w:r w:rsidR="00433434">
        <w:rPr>
          <w:rFonts w:hint="cs"/>
          <w:rtl/>
        </w:rPr>
        <w:t>הוצע</w:t>
      </w:r>
      <w:r w:rsidR="00433434" w:rsidRPr="00435653">
        <w:rPr>
          <w:rFonts w:hint="cs"/>
          <w:rtl/>
        </w:rPr>
        <w:t xml:space="preserve"> לעשות שימוש במספר מושגים אחרים, כגון "חברה ממלכתית", "חברה לאומית" או "חברת מדינה" (</w:t>
      </w:r>
      <w:r w:rsidR="00433434" w:rsidRPr="00435653">
        <w:rPr>
          <w:rFonts w:ascii="Century" w:hAnsi="Century" w:hint="cs"/>
          <w:sz w:val="22"/>
          <w:rtl/>
        </w:rPr>
        <w:t xml:space="preserve">ראו: </w:t>
      </w:r>
      <w:r w:rsidR="00433434">
        <w:rPr>
          <w:rFonts w:ascii="Century" w:hAnsi="Century" w:hint="cs"/>
          <w:sz w:val="22"/>
          <w:rtl/>
        </w:rPr>
        <w:t>שם</w:t>
      </w:r>
      <w:r w:rsidR="00433434" w:rsidRPr="00435653">
        <w:rPr>
          <w:rFonts w:ascii="Century" w:hAnsi="Century" w:hint="cs"/>
          <w:sz w:val="22"/>
          <w:rtl/>
        </w:rPr>
        <w:t>, בעמוד</w:t>
      </w:r>
      <w:r w:rsidR="00433434" w:rsidRPr="00435653">
        <w:rPr>
          <w:rFonts w:hint="cs"/>
          <w:rtl/>
        </w:rPr>
        <w:t xml:space="preserve"> 40).</w:t>
      </w:r>
    </w:p>
    <w:p w:rsidR="00433434" w:rsidRPr="00435653" w:rsidRDefault="00433434" w:rsidP="008A79B6">
      <w:pPr>
        <w:pStyle w:val="Ruller4"/>
        <w:rPr>
          <w:rtl/>
        </w:rPr>
      </w:pPr>
      <w:r w:rsidRPr="00435653">
        <w:rPr>
          <w:rFonts w:hint="cs"/>
          <w:rtl/>
        </w:rPr>
        <w:t xml:space="preserve">עוד מצאתי לציין, כי בהתאם לנתונים עליהם עמדתי בפתח דבריי, אשר </w:t>
      </w:r>
      <w:r w:rsidRPr="00E47D8D">
        <w:rPr>
          <w:rFonts w:ascii="Century" w:hAnsi="Century" w:cs="Miriam" w:hint="cs"/>
          <w:b/>
          <w:spacing w:val="0"/>
          <w:szCs w:val="24"/>
          <w:rtl/>
        </w:rPr>
        <w:t>להיקף פעילותן וחשיבותן של החברות הממשלתיות במשק הישראלי</w:t>
      </w:r>
      <w:r w:rsidRPr="00E47D8D">
        <w:rPr>
          <w:rFonts w:hint="cs"/>
          <w:rtl/>
        </w:rPr>
        <w:t xml:space="preserve"> </w:t>
      </w:r>
      <w:r w:rsidRPr="00435653">
        <w:rPr>
          <w:rtl/>
        </w:rPr>
        <w:t>–</w:t>
      </w:r>
      <w:r w:rsidRPr="00435653">
        <w:rPr>
          <w:rFonts w:hint="cs"/>
          <w:rtl/>
        </w:rPr>
        <w:t xml:space="preserve"> אין ספק כי לחברות הממשלתיות </w:t>
      </w:r>
      <w:r w:rsidRPr="00E47D8D">
        <w:rPr>
          <w:rFonts w:ascii="Century" w:hAnsi="Century" w:cs="Miriam" w:hint="cs"/>
          <w:b/>
          <w:spacing w:val="0"/>
          <w:szCs w:val="24"/>
          <w:rtl/>
        </w:rPr>
        <w:t>תפקיד מרכזי בכלכלה הישראלית, כמו גם במערכת השלטונית</w:t>
      </w:r>
      <w:r w:rsidRPr="00435653">
        <w:rPr>
          <w:rFonts w:hint="cs"/>
          <w:rtl/>
        </w:rPr>
        <w:t>. זאת, בשים לב לשירותים החיוניים אות</w:t>
      </w:r>
      <w:r>
        <w:rPr>
          <w:rFonts w:hint="cs"/>
          <w:rtl/>
        </w:rPr>
        <w:t>ם</w:t>
      </w:r>
      <w:r w:rsidRPr="00435653">
        <w:rPr>
          <w:rFonts w:hint="cs"/>
          <w:rtl/>
        </w:rPr>
        <w:t xml:space="preserve"> הן מספקות, למספר העובדים העצום אותו הן מעסיקות ולהון הרב בו הן מחזיקות (</w:t>
      </w:r>
      <w:r w:rsidRPr="00435653">
        <w:rPr>
          <w:rFonts w:ascii="Century" w:hAnsi="Century" w:hint="cs"/>
          <w:rtl/>
        </w:rPr>
        <w:t xml:space="preserve">עניין </w:t>
      </w:r>
      <w:r w:rsidRPr="00435653">
        <w:rPr>
          <w:rFonts w:ascii="Century" w:hAnsi="Century" w:cs="Miriam" w:hint="cs"/>
          <w:b/>
          <w:spacing w:val="0"/>
          <w:szCs w:val="24"/>
          <w:rtl/>
        </w:rPr>
        <w:t>התנועה לחופש המידע</w:t>
      </w:r>
      <w:r w:rsidRPr="00435653">
        <w:rPr>
          <w:rFonts w:ascii="Century" w:hAnsi="Century" w:hint="cs"/>
          <w:rtl/>
        </w:rPr>
        <w:t xml:space="preserve">, בפסקה 9; </w:t>
      </w:r>
      <w:r w:rsidRPr="00435653">
        <w:rPr>
          <w:rFonts w:ascii="Century" w:hAnsi="Century" w:cs="Miriam" w:hint="cs"/>
          <w:b/>
          <w:spacing w:val="0"/>
          <w:szCs w:val="24"/>
          <w:rtl/>
        </w:rPr>
        <w:t>זמיר</w:t>
      </w:r>
      <w:r w:rsidRPr="00435653">
        <w:rPr>
          <w:rFonts w:ascii="Century" w:hAnsi="Century" w:hint="cs"/>
          <w:rtl/>
        </w:rPr>
        <w:t xml:space="preserve">, בעמוד 497; עניין </w:t>
      </w:r>
      <w:r w:rsidRPr="00435653">
        <w:rPr>
          <w:rFonts w:ascii="Century" w:hAnsi="Century" w:cs="Miriam" w:hint="cs"/>
          <w:b/>
          <w:spacing w:val="0"/>
          <w:szCs w:val="24"/>
          <w:rtl/>
        </w:rPr>
        <w:t>רפאל</w:t>
      </w:r>
      <w:r w:rsidRPr="00435653">
        <w:rPr>
          <w:rFonts w:ascii="Century" w:hAnsi="Century" w:hint="cs"/>
          <w:rtl/>
        </w:rPr>
        <w:t xml:space="preserve">, בפסקה 30). </w:t>
      </w:r>
    </w:p>
    <w:p w:rsidR="008A79B6" w:rsidRDefault="008A79B6" w:rsidP="008A79B6">
      <w:pPr>
        <w:pStyle w:val="Ruller41"/>
        <w:rPr>
          <w:rFonts w:ascii="Century" w:hAnsi="Century"/>
          <w:rtl/>
        </w:rPr>
      </w:pPr>
    </w:p>
    <w:p w:rsidR="00433434" w:rsidRPr="00435653" w:rsidRDefault="008A79B6" w:rsidP="008A79B6">
      <w:pPr>
        <w:pStyle w:val="Ruller41"/>
      </w:pPr>
      <w:r>
        <w:rPr>
          <w:rFonts w:ascii="Century" w:hAnsi="Century"/>
          <w:rtl/>
        </w:rPr>
        <w:tab/>
      </w:r>
      <w:r w:rsidR="00433434" w:rsidRPr="00435653">
        <w:rPr>
          <w:rFonts w:ascii="Century" w:hAnsi="Century" w:hint="cs"/>
          <w:rtl/>
        </w:rPr>
        <w:t xml:space="preserve">כפי שנראה מיד, </w:t>
      </w:r>
      <w:r w:rsidR="00433434" w:rsidRPr="00435653">
        <w:rPr>
          <w:rFonts w:hint="cs"/>
          <w:rtl/>
        </w:rPr>
        <w:t xml:space="preserve">מאפייניהן אלו של החברות הממשלתיות הובילו את המחוקק לערוך הסדרה מקיפה יותר של פעילותן, בהשוואה לחברות אחרות, הן במישור התאגידי הן במישור </w:t>
      </w:r>
      <w:proofErr w:type="spellStart"/>
      <w:r w:rsidR="00433434" w:rsidRPr="00435653">
        <w:rPr>
          <w:rFonts w:hint="cs"/>
          <w:rtl/>
        </w:rPr>
        <w:t>המינהלי</w:t>
      </w:r>
      <w:proofErr w:type="spellEnd"/>
      <w:r w:rsidR="00433434" w:rsidRPr="00435653">
        <w:rPr>
          <w:rFonts w:hint="cs"/>
          <w:rtl/>
        </w:rPr>
        <w:t xml:space="preserve">; כמו גם להקמת רשות ייחודית, אשר תפעל בשני מישורים אלה. </w:t>
      </w:r>
    </w:p>
    <w:p w:rsidR="008A79B6" w:rsidRDefault="008A79B6" w:rsidP="00433434">
      <w:pPr>
        <w:pStyle w:val="Ruller41"/>
        <w:rPr>
          <w:rFonts w:ascii="Century" w:hAnsi="Century" w:cs="Miriam"/>
          <w:b/>
          <w:spacing w:val="0"/>
          <w:szCs w:val="24"/>
          <w:rtl/>
        </w:rPr>
      </w:pPr>
    </w:p>
    <w:p w:rsidR="00433434" w:rsidRPr="00435653" w:rsidRDefault="00433434" w:rsidP="00433434">
      <w:pPr>
        <w:pStyle w:val="Ruller41"/>
        <w:rPr>
          <w:rFonts w:ascii="Century" w:hAnsi="Century" w:cs="Miriam"/>
          <w:b/>
          <w:spacing w:val="0"/>
          <w:szCs w:val="24"/>
          <w:rtl/>
        </w:rPr>
      </w:pPr>
      <w:r w:rsidRPr="00435653">
        <w:rPr>
          <w:rFonts w:ascii="Century" w:hAnsi="Century" w:cs="Miriam" w:hint="cs"/>
          <w:b/>
          <w:spacing w:val="0"/>
          <w:szCs w:val="24"/>
          <w:rtl/>
        </w:rPr>
        <w:t xml:space="preserve">על תפקידה של רשות החברות הממשלתיות כגורם מאסדר </w:t>
      </w:r>
    </w:p>
    <w:p w:rsidR="00433434" w:rsidRPr="00435653" w:rsidRDefault="00433434" w:rsidP="00433434">
      <w:pPr>
        <w:pStyle w:val="Ruller4"/>
        <w:spacing w:before="240" w:after="240"/>
        <w:rPr>
          <w:rtl/>
        </w:rPr>
      </w:pPr>
      <w:r w:rsidRPr="00435653">
        <w:rPr>
          <w:rFonts w:ascii="Century" w:hAnsi="Century" w:hint="cs"/>
          <w:rtl/>
        </w:rPr>
        <w:t>אחת הדרכים שהוצעו להתמודד עם הקשיים עליהם עמדתי לעיל, היא באמצעות הטעמתם של מנגנוני פיקוח מגוונים, שיאפשרו, בשעת הצורך, להכווין את החברה הממשלתית לביצוע המדיניות הממשלתית (</w:t>
      </w:r>
      <w:r w:rsidRPr="00435653">
        <w:rPr>
          <w:rFonts w:ascii="Century" w:hAnsi="Century" w:cs="Miriam" w:hint="cs"/>
          <w:b/>
          <w:spacing w:val="0"/>
          <w:szCs w:val="24"/>
          <w:rtl/>
        </w:rPr>
        <w:t>דו"ח ועדת ברק</w:t>
      </w:r>
      <w:r w:rsidRPr="00435653">
        <w:rPr>
          <w:rFonts w:ascii="Century" w:hAnsi="Century" w:hint="cs"/>
          <w:rtl/>
        </w:rPr>
        <w:t xml:space="preserve">, בעמוד 27; ראו גם: סעיפים 8(א), 11, 20, 25, 34 ו-41 לחוק החברות הממשלתיות, המגדירים החלטות ועסקאות של החברה הטענות אישור ממשלה, קובעים חובות גילוי ודיווח המוטלות על נושאי המשרה בה, וכן סעיף 68 לחוק, הקובע סנקציה פלילית על הפרת מקצתן של חובות אלו). </w:t>
      </w:r>
    </w:p>
    <w:p w:rsidR="00433434" w:rsidRPr="00435653" w:rsidRDefault="00433434" w:rsidP="00433434">
      <w:pPr>
        <w:pStyle w:val="Ruller4"/>
        <w:spacing w:before="240" w:after="240"/>
      </w:pPr>
      <w:r w:rsidRPr="00435653">
        <w:rPr>
          <w:rFonts w:ascii="Century" w:hAnsi="Century" w:hint="cs"/>
          <w:rtl/>
        </w:rPr>
        <w:t xml:space="preserve">בתוך כל אלו, הוחלט גם על הקמת רשות ייעודית שתסייע בהתמודדות עם המתח הטבוע בדואליות הפונקציונלית של חברות ממשלתיות </w:t>
      </w:r>
      <w:r w:rsidRPr="00435653">
        <w:rPr>
          <w:rFonts w:ascii="Century" w:hAnsi="Century"/>
          <w:rtl/>
        </w:rPr>
        <w:t>–</w:t>
      </w:r>
      <w:r w:rsidRPr="00435653">
        <w:rPr>
          <w:rFonts w:ascii="Century" w:hAnsi="Century" w:hint="cs"/>
          <w:rtl/>
        </w:rPr>
        <w:t xml:space="preserve"> היא רשות החברות הממשלתיות; וכך על-פי דו"ח הוועדה: </w:t>
      </w:r>
    </w:p>
    <w:p w:rsidR="00433434" w:rsidRPr="00435653" w:rsidRDefault="00433434" w:rsidP="00433434">
      <w:pPr>
        <w:pStyle w:val="Ruller5"/>
        <w:rPr>
          <w:rtl/>
        </w:rPr>
      </w:pPr>
      <w:r w:rsidRPr="00435653">
        <w:rPr>
          <w:rStyle w:val="Ruller50"/>
          <w:rFonts w:hint="cs"/>
          <w:rtl/>
        </w:rPr>
        <w:t xml:space="preserve">"גישתה של הועדה בדבר האיזון בין עצמאות החברה הממשלתית מזה ופיקוח הרשות המבצעת באמצעות השרים מזה, מחייבת כי תוקם במסגרת הרשות המבצעת רשות מיוחדת </w:t>
      </w:r>
      <w:r w:rsidRPr="00435653">
        <w:rPr>
          <w:rFonts w:hint="cs"/>
          <w:rtl/>
        </w:rPr>
        <w:t>שתטפל</w:t>
      </w:r>
      <w:r w:rsidRPr="00435653">
        <w:rPr>
          <w:rStyle w:val="Ruller50"/>
          <w:rFonts w:hint="cs"/>
          <w:rtl/>
        </w:rPr>
        <w:t xml:space="preserve"> בבעיותיהן של כלל החברות הממשלתיות [...] רשות זו תרכז במסגרתה את כל הניסיון הממשלתי באשר לטיפול בחברות הממשלתיות ותהווה על-כן מוקד לאינפורמציה להנחיה ולמעקב אחר </w:t>
      </w:r>
      <w:r w:rsidRPr="00435653">
        <w:rPr>
          <w:rStyle w:val="Ruller50"/>
          <w:rFonts w:hint="cs"/>
          <w:rtl/>
        </w:rPr>
        <w:lastRenderedPageBreak/>
        <w:t>פעולותיהן של החברות הממשלתיות ותשמש גוף מדריך ומייעץ לשרים ולממשלה בהפעלת סמכויותיה</w:t>
      </w:r>
      <w:r w:rsidRPr="00435653">
        <w:rPr>
          <w:rStyle w:val="Ruller50"/>
          <w:rFonts w:hint="eastAsia"/>
          <w:rtl/>
        </w:rPr>
        <w:t>ם</w:t>
      </w:r>
      <w:r w:rsidRPr="00435653">
        <w:rPr>
          <w:rStyle w:val="Ruller50"/>
          <w:rFonts w:hint="cs"/>
          <w:rtl/>
        </w:rPr>
        <w:t xml:space="preserve"> ביחס לחברות הממשלתיות [...] יהיה זה מתפקידה של הרשות לטפל </w:t>
      </w:r>
      <w:proofErr w:type="spellStart"/>
      <w:r w:rsidRPr="00435653">
        <w:rPr>
          <w:rStyle w:val="Ruller50"/>
          <w:rFonts w:hint="cs"/>
          <w:rtl/>
        </w:rPr>
        <w:t>בענינים</w:t>
      </w:r>
      <w:proofErr w:type="spellEnd"/>
      <w:r w:rsidRPr="00435653">
        <w:rPr>
          <w:rStyle w:val="Ruller50"/>
          <w:rFonts w:hint="cs"/>
          <w:rtl/>
        </w:rPr>
        <w:t xml:space="preserve"> המשותפים לכלל החברות הממשלתיות כגון, שכר ותנאי עבודה, ביטוח, יעוץ משפטי ועוד [...] יהיה זה מתפקידה של הרשות להכין כללי דיווח ובקרה הן כדי ליעל את פעולתן של החברות הממשלתיות והן כדי לרכז אינפורמציה על הנעשה בהן"</w:t>
      </w:r>
      <w:r w:rsidRPr="00435653">
        <w:rPr>
          <w:rFonts w:hint="cs"/>
          <w:rtl/>
        </w:rPr>
        <w:t xml:space="preserve"> </w:t>
      </w:r>
      <w:r w:rsidRPr="00435653">
        <w:rPr>
          <w:rFonts w:ascii="Century" w:hAnsi="Century" w:hint="cs"/>
          <w:rtl/>
        </w:rPr>
        <w:t>(</w:t>
      </w:r>
      <w:r w:rsidRPr="00FA71DE">
        <w:rPr>
          <w:rFonts w:ascii="Century" w:hAnsi="Century" w:cs="Miriam" w:hint="eastAsia"/>
          <w:b/>
          <w:spacing w:val="0"/>
          <w:szCs w:val="24"/>
          <w:rtl/>
        </w:rPr>
        <w:t>דו</w:t>
      </w:r>
      <w:r w:rsidRPr="00FA71DE">
        <w:rPr>
          <w:rFonts w:ascii="Century" w:hAnsi="Century" w:cs="Miriam"/>
          <w:b/>
          <w:spacing w:val="0"/>
          <w:szCs w:val="24"/>
          <w:rtl/>
        </w:rPr>
        <w:t xml:space="preserve">"ח </w:t>
      </w:r>
      <w:r w:rsidRPr="00FA71DE">
        <w:rPr>
          <w:rFonts w:ascii="Century" w:hAnsi="Century" w:cs="Miriam" w:hint="eastAsia"/>
          <w:b/>
          <w:spacing w:val="0"/>
          <w:szCs w:val="24"/>
          <w:rtl/>
        </w:rPr>
        <w:t>ועדת</w:t>
      </w:r>
      <w:r w:rsidRPr="00FA71DE">
        <w:rPr>
          <w:rFonts w:ascii="Century" w:hAnsi="Century" w:cs="Miriam"/>
          <w:b/>
          <w:spacing w:val="0"/>
          <w:szCs w:val="24"/>
          <w:rtl/>
        </w:rPr>
        <w:t xml:space="preserve"> </w:t>
      </w:r>
      <w:r w:rsidRPr="00FA71DE">
        <w:rPr>
          <w:rFonts w:ascii="Century" w:hAnsi="Century" w:cs="Miriam" w:hint="eastAsia"/>
          <w:b/>
          <w:spacing w:val="0"/>
          <w:szCs w:val="24"/>
          <w:rtl/>
        </w:rPr>
        <w:t>ברק</w:t>
      </w:r>
      <w:r w:rsidRPr="00435653">
        <w:rPr>
          <w:rFonts w:ascii="Century" w:hAnsi="Century" w:hint="cs"/>
          <w:rtl/>
        </w:rPr>
        <w:t xml:space="preserve">, בעמוד 36).   </w:t>
      </w:r>
      <w:r w:rsidRPr="00435653">
        <w:rPr>
          <w:rFonts w:hint="cs"/>
          <w:rtl/>
        </w:rPr>
        <w:t xml:space="preserve"> </w:t>
      </w:r>
    </w:p>
    <w:p w:rsidR="00433434" w:rsidRPr="00435653" w:rsidRDefault="00433434" w:rsidP="00433434">
      <w:pPr>
        <w:pStyle w:val="Ruller4"/>
        <w:spacing w:before="240" w:after="240"/>
        <w:rPr>
          <w:rFonts w:ascii="Century" w:hAnsi="Century"/>
          <w:rtl/>
        </w:rPr>
      </w:pPr>
      <w:r w:rsidRPr="00435653">
        <w:rPr>
          <w:rFonts w:ascii="Century" w:hAnsi="Century" w:hint="cs"/>
          <w:rtl/>
        </w:rPr>
        <w:t>עוד הובהר במבוא להצעת החוק ובדברי ההסבר לה, כי לרשות שתוקם מיועדים 'תפקידים רבים' שעניינם ייעוץ ופיקוח (</w:t>
      </w:r>
      <w:r w:rsidRPr="00435653">
        <w:rPr>
          <w:rFonts w:ascii="Century" w:hAnsi="Century" w:cs="Miriam" w:hint="cs"/>
          <w:b/>
          <w:spacing w:val="0"/>
          <w:sz w:val="22"/>
          <w:szCs w:val="24"/>
          <w:rtl/>
        </w:rPr>
        <w:t>הצעת חוק החברות הממשלתיות</w:t>
      </w:r>
      <w:r w:rsidRPr="00435653">
        <w:rPr>
          <w:rFonts w:ascii="Century" w:hAnsi="Century" w:hint="cs"/>
          <w:sz w:val="22"/>
          <w:rtl/>
        </w:rPr>
        <w:t>, בעמוד 332</w:t>
      </w:r>
      <w:r w:rsidRPr="00435653">
        <w:rPr>
          <w:rFonts w:ascii="Century" w:hAnsi="Century" w:hint="cs"/>
          <w:rtl/>
        </w:rPr>
        <w:t xml:space="preserve">); ואף הודגש, כי הפעלת מרבית סמכויות הממשלה והשרים הממונים, תהא כפופה </w:t>
      </w:r>
      <w:r w:rsidRPr="00435653">
        <w:rPr>
          <w:rFonts w:ascii="Century" w:hAnsi="Century" w:cs="Miriam" w:hint="cs"/>
          <w:b/>
          <w:spacing w:val="0"/>
          <w:sz w:val="22"/>
          <w:szCs w:val="24"/>
          <w:rtl/>
        </w:rPr>
        <w:t>להתייעצות קודמת עם הרשות</w:t>
      </w:r>
      <w:r w:rsidRPr="00435653">
        <w:rPr>
          <w:rFonts w:ascii="Century" w:hAnsi="Century" w:hint="cs"/>
          <w:rtl/>
        </w:rPr>
        <w:t xml:space="preserve"> (שם, בעמוד 316). מכל אלה עולה, כי עוד מראשית הדרך, נקשרה עצמאותן העסקית של החברות הממשלתיות עם ההכרה בתפקיד המכוון והמפקח של רשות החברות הממשלתיות, מקום בו אין מדובר בפעילות העסקית עצמה (עניין </w:t>
      </w:r>
      <w:r w:rsidRPr="00435653">
        <w:rPr>
          <w:rFonts w:ascii="Century" w:hAnsi="Century" w:cs="Miriam" w:hint="cs"/>
          <w:b/>
          <w:spacing w:val="0"/>
          <w:sz w:val="22"/>
          <w:szCs w:val="24"/>
          <w:rtl/>
        </w:rPr>
        <w:t>נבון</w:t>
      </w:r>
      <w:r w:rsidRPr="00435653">
        <w:rPr>
          <w:rFonts w:ascii="Century" w:hAnsi="Century" w:hint="cs"/>
          <w:sz w:val="22"/>
          <w:rtl/>
        </w:rPr>
        <w:t>, בפסקה 46</w:t>
      </w:r>
      <w:r w:rsidRPr="00435653">
        <w:rPr>
          <w:rFonts w:ascii="Century" w:hAnsi="Century" w:hint="cs"/>
          <w:rtl/>
        </w:rPr>
        <w:t>).</w:t>
      </w:r>
    </w:p>
    <w:p w:rsidR="00433434" w:rsidRPr="00435653" w:rsidRDefault="00433434" w:rsidP="00433434">
      <w:pPr>
        <w:pStyle w:val="Ruller4"/>
        <w:spacing w:before="240" w:after="240"/>
      </w:pPr>
      <w:r w:rsidRPr="00435653">
        <w:rPr>
          <w:rFonts w:hint="cs"/>
          <w:rtl/>
        </w:rPr>
        <w:t xml:space="preserve">על יסוד כל אלו, הוטלו על הרשות </w:t>
      </w:r>
      <w:r w:rsidRPr="00435653">
        <w:rPr>
          <w:rFonts w:ascii="Century" w:hAnsi="Century" w:hint="cs"/>
          <w:rtl/>
        </w:rPr>
        <w:t xml:space="preserve">תפקידי יעוץ ופיקוח רבים, המוגדרים בסעיף 54 לחוק, מקצתם לגבי כלל החברות הממשלתיות ומקצתם לגבי 'סוגים' של חברות. ביניהם, מתן ייעוץ לממשלה ולשרים בעניינים הנוגעים לחברות הממשלתיות; טיפול בעניינים המשותפים לכלל החברות הממשלתיות או סוגי החברות, לפי הנחיות הממשלה; מעקב אחר מילוי המלצות מבקר המדינה הנוגעות לחברות הממשלתיות וסיוע למילוין; ייעוץ וסיוע לחברות ממשלתיות בניהול עסקיהן; מעקב רציף אחר הפעילות של כל אחת מן החברות הממשלתיות, הגשמת מטרותיה, מהלך עסקיה, מצבה הכספי ומדיניות השכר שלה; בדיקת דו"חות החברות הממשלתיות; טיפול וסיוע בהקמה וביצוע של פירוק, מיזוג, פשרה, סידור, חידוש וארגון מכירת מניות של חברות ממשלתיות; ייעוץ לוועדת השרים </w:t>
      </w:r>
      <w:proofErr w:type="spellStart"/>
      <w:r w:rsidRPr="00435653">
        <w:rPr>
          <w:rFonts w:ascii="Century" w:hAnsi="Century" w:hint="cs"/>
          <w:rtl/>
        </w:rPr>
        <w:t>לעניני</w:t>
      </w:r>
      <w:proofErr w:type="spellEnd"/>
      <w:r w:rsidRPr="00435653">
        <w:rPr>
          <w:rFonts w:ascii="Century" w:hAnsi="Century" w:hint="cs"/>
          <w:rtl/>
        </w:rPr>
        <w:t xml:space="preserve"> ה</w:t>
      </w:r>
      <w:r>
        <w:rPr>
          <w:rFonts w:ascii="Century" w:hAnsi="Century" w:hint="cs"/>
          <w:rtl/>
        </w:rPr>
        <w:t>פרטה (אשר הוקמה בסעיף 59א לחוק) בעניינים הנוגעים להפרטה;</w:t>
      </w:r>
      <w:r w:rsidRPr="00435653">
        <w:rPr>
          <w:rFonts w:ascii="Century" w:hAnsi="Century" w:hint="cs"/>
          <w:rtl/>
        </w:rPr>
        <w:t xml:space="preserve"> טיפול בביצוע החלטות הפרטה; ועוד.   </w:t>
      </w:r>
    </w:p>
    <w:p w:rsidR="00433434" w:rsidRPr="00435653" w:rsidRDefault="00433434" w:rsidP="00433434">
      <w:pPr>
        <w:pStyle w:val="Ruller4"/>
        <w:spacing w:before="240" w:after="240"/>
        <w:rPr>
          <w:rFonts w:ascii="Century" w:hAnsi="Century"/>
          <w:rtl/>
        </w:rPr>
      </w:pPr>
      <w:r w:rsidRPr="00435653">
        <w:rPr>
          <w:rFonts w:ascii="Century" w:hAnsi="Century" w:hint="cs"/>
          <w:rtl/>
        </w:rPr>
        <w:t xml:space="preserve">על חשיבותו של המאסדר, בכלל, נכתב לא מעט. תפישת היסוד היא כי המאסדר הוא בעל מומחיות מיוחדת, והוא בקיא ומכיר זה מקרוב ביותר את הנושאים המצויים תחת תחום אחריותו. </w:t>
      </w:r>
      <w:r w:rsidRPr="00435653">
        <w:rPr>
          <w:rFonts w:ascii="David" w:hAnsi="David" w:hint="cs"/>
          <w:rtl/>
        </w:rPr>
        <w:t>בתוך כך, מובלעת גם ההכרה בחשיבות ידיעותיו של המאסדר עם התחום מתוך הפרקטיקה הנוהגת ב'</w:t>
      </w:r>
      <w:r w:rsidRPr="00435653">
        <w:rPr>
          <w:rFonts w:ascii="David" w:hAnsi="David"/>
          <w:rtl/>
        </w:rPr>
        <w:t>שטח</w:t>
      </w:r>
      <w:r w:rsidRPr="00435653">
        <w:rPr>
          <w:rFonts w:ascii="David" w:hAnsi="David" w:hint="cs"/>
          <w:rtl/>
        </w:rPr>
        <w:t>'</w:t>
      </w:r>
      <w:r w:rsidRPr="00435653">
        <w:rPr>
          <w:rFonts w:ascii="David" w:hAnsi="David"/>
          <w:rtl/>
        </w:rPr>
        <w:t xml:space="preserve">. </w:t>
      </w:r>
      <w:r w:rsidRPr="00435653">
        <w:rPr>
          <w:rFonts w:ascii="David" w:hAnsi="David" w:hint="cs"/>
          <w:rtl/>
        </w:rPr>
        <w:t xml:space="preserve">ידיעות אלו, בשילוב עם התמצאותו של המאסדר בדברי החוק, הפסיקה והכתיבה האקדמית בתחום הרלוונטי </w:t>
      </w:r>
      <w:r w:rsidRPr="00435653">
        <w:rPr>
          <w:rFonts w:ascii="David" w:hAnsi="David"/>
          <w:rtl/>
        </w:rPr>
        <w:t>–</w:t>
      </w:r>
      <w:r w:rsidRPr="00435653">
        <w:rPr>
          <w:rFonts w:ascii="David" w:hAnsi="David" w:hint="cs"/>
          <w:rtl/>
        </w:rPr>
        <w:t xml:space="preserve"> כמו גם יישומם של אלה בחיי המעשה, ובמגוון רחב של אירועים </w:t>
      </w:r>
      <w:r w:rsidRPr="00435653">
        <w:rPr>
          <w:rFonts w:ascii="David" w:hAnsi="David"/>
          <w:rtl/>
        </w:rPr>
        <w:t>–</w:t>
      </w:r>
      <w:r w:rsidRPr="00435653">
        <w:rPr>
          <w:rFonts w:ascii="David" w:hAnsi="David" w:hint="cs"/>
          <w:rtl/>
        </w:rPr>
        <w:t xml:space="preserve"> נותנים בידי המאסדר את פריזמת ההתבוננות הרחבה ביותר בנוגע לסוגיות מורכבות העומדות על הפרק. </w:t>
      </w:r>
    </w:p>
    <w:p w:rsidR="00433434" w:rsidRPr="00435653" w:rsidRDefault="00433434" w:rsidP="00433434">
      <w:pPr>
        <w:pStyle w:val="Ruller4"/>
        <w:spacing w:before="240" w:after="240"/>
        <w:rPr>
          <w:rFonts w:ascii="David" w:hAnsi="David"/>
          <w:color w:val="000000"/>
        </w:rPr>
      </w:pPr>
      <w:r w:rsidRPr="00435653">
        <w:rPr>
          <w:rFonts w:ascii="Century" w:hAnsi="Century" w:hint="cs"/>
          <w:rtl/>
        </w:rPr>
        <w:lastRenderedPageBreak/>
        <w:t xml:space="preserve">ועוד, </w:t>
      </w:r>
      <w:r w:rsidRPr="00435653">
        <w:rPr>
          <w:rFonts w:ascii="David" w:hAnsi="David" w:hint="cs"/>
          <w:rtl/>
        </w:rPr>
        <w:t xml:space="preserve">מעבר למקצועיות וניסיונו הרב של המאסדר בתחומו, זוכה המאסדר גם לחזקת </w:t>
      </w:r>
      <w:r w:rsidRPr="00435653">
        <w:rPr>
          <w:rFonts w:ascii="Century" w:hAnsi="Century" w:cs="Miriam" w:hint="cs"/>
          <w:b/>
          <w:spacing w:val="0"/>
          <w:sz w:val="22"/>
          <w:szCs w:val="24"/>
          <w:rtl/>
        </w:rPr>
        <w:t>אובייקטיביות</w:t>
      </w:r>
      <w:r w:rsidRPr="00435653">
        <w:rPr>
          <w:rFonts w:ascii="David" w:hAnsi="David" w:hint="cs"/>
          <w:rtl/>
        </w:rPr>
        <w:t xml:space="preserve"> (להוציא מקרים של "שבי רגולטורי" (להרחבה, ראו: </w:t>
      </w:r>
      <w:r w:rsidRPr="00435653">
        <w:rPr>
          <w:rFonts w:ascii="David" w:hAnsi="David"/>
          <w:rtl/>
        </w:rPr>
        <w:t xml:space="preserve">דנ"א </w:t>
      </w:r>
      <w:r w:rsidRPr="00435653">
        <w:rPr>
          <w:rFonts w:ascii="David" w:hAnsi="David" w:hint="cs"/>
          <w:rtl/>
        </w:rPr>
        <w:t>4960/18</w:t>
      </w:r>
      <w:r w:rsidRPr="00435653">
        <w:rPr>
          <w:rFonts w:ascii="David" w:hAnsi="David"/>
          <w:rtl/>
        </w:rPr>
        <w:t xml:space="preserve"> </w:t>
      </w:r>
      <w:proofErr w:type="spellStart"/>
      <w:r w:rsidRPr="00435653">
        <w:rPr>
          <w:rFonts w:ascii="Century" w:hAnsi="Century" w:cs="Miriam"/>
          <w:b/>
          <w:spacing w:val="0"/>
          <w:sz w:val="22"/>
          <w:szCs w:val="24"/>
          <w:rtl/>
        </w:rPr>
        <w:t>זליגמן</w:t>
      </w:r>
      <w:proofErr w:type="spellEnd"/>
      <w:r w:rsidRPr="00435653">
        <w:rPr>
          <w:rFonts w:ascii="Century" w:hAnsi="Century" w:cs="Miriam"/>
          <w:b/>
          <w:spacing w:val="0"/>
          <w:sz w:val="22"/>
          <w:szCs w:val="24"/>
          <w:rtl/>
        </w:rPr>
        <w:t xml:space="preserve"> נ' הפניקס החברה לביטוח בע"מ</w:t>
      </w:r>
      <w:r w:rsidRPr="00435653">
        <w:rPr>
          <w:rFonts w:ascii="David" w:hAnsi="David"/>
          <w:rtl/>
        </w:rPr>
        <w:t xml:space="preserve"> (</w:t>
      </w:r>
      <w:r w:rsidRPr="00435653">
        <w:rPr>
          <w:rFonts w:ascii="David" w:hAnsi="David" w:hint="cs"/>
          <w:rtl/>
        </w:rPr>
        <w:t>04.07.2021</w:t>
      </w:r>
      <w:r w:rsidRPr="00435653">
        <w:rPr>
          <w:rFonts w:ascii="David" w:hAnsi="David"/>
          <w:rtl/>
        </w:rPr>
        <w:t>)</w:t>
      </w:r>
      <w:r w:rsidRPr="00435653">
        <w:rPr>
          <w:rFonts w:ascii="Century" w:hAnsi="Century" w:hint="cs"/>
          <w:sz w:val="22"/>
          <w:rtl/>
        </w:rPr>
        <w:t>)</w:t>
      </w:r>
      <w:r w:rsidRPr="00435653">
        <w:rPr>
          <w:rFonts w:ascii="David" w:hAnsi="David" w:hint="cs"/>
          <w:rtl/>
        </w:rPr>
        <w:t xml:space="preserve">. היינו, שאין רואים בו </w:t>
      </w:r>
      <w:r w:rsidRPr="00435653">
        <w:rPr>
          <w:rFonts w:ascii="David" w:hAnsi="David"/>
          <w:color w:val="000000"/>
          <w:rtl/>
        </w:rPr>
        <w:t>גוף בעל אינטרסים אישיים, המונע מרצון להכתיב</w:t>
      </w:r>
      <w:r w:rsidRPr="00435653">
        <w:rPr>
          <w:rFonts w:ascii="David" w:hAnsi="David" w:hint="cs"/>
          <w:color w:val="000000"/>
          <w:rtl/>
        </w:rPr>
        <w:t xml:space="preserve"> מהלכים עצמאיים משל עצמו. כל אלה </w:t>
      </w:r>
      <w:r w:rsidRPr="00435653">
        <w:rPr>
          <w:rFonts w:ascii="David" w:hAnsi="David"/>
          <w:color w:val="000000"/>
          <w:rtl/>
        </w:rPr>
        <w:t>–</w:t>
      </w:r>
      <w:r w:rsidRPr="00435653">
        <w:rPr>
          <w:rFonts w:ascii="David" w:hAnsi="David" w:hint="cs"/>
          <w:color w:val="000000"/>
          <w:rtl/>
        </w:rPr>
        <w:t xml:space="preserve"> </w:t>
      </w:r>
      <w:r w:rsidRPr="00435653">
        <w:rPr>
          <w:rFonts w:ascii="Century" w:hAnsi="Century" w:cs="Miriam" w:hint="eastAsia"/>
          <w:b/>
          <w:spacing w:val="0"/>
          <w:sz w:val="22"/>
          <w:szCs w:val="24"/>
          <w:rtl/>
        </w:rPr>
        <w:t>מחייבים</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מתן</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משקל</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ראוי</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והולם</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לעמדת</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המאסדר</w:t>
      </w:r>
      <w:r w:rsidRPr="00435653">
        <w:rPr>
          <w:rFonts w:ascii="David" w:hAnsi="David" w:hint="cs"/>
          <w:color w:val="000000"/>
          <w:rtl/>
        </w:rPr>
        <w:t xml:space="preserve"> </w:t>
      </w:r>
      <w:r w:rsidRPr="00435653">
        <w:rPr>
          <w:rFonts w:ascii="Century" w:hAnsi="Century" w:hint="cs"/>
          <w:rtl/>
        </w:rPr>
        <w:t>(</w:t>
      </w:r>
      <w:r w:rsidRPr="00435653">
        <w:rPr>
          <w:rFonts w:ascii="David" w:hAnsi="David" w:hint="cs"/>
          <w:rtl/>
        </w:rPr>
        <w:t xml:space="preserve">להרחבה בדבר חשיבות עמדת המאסדר, ראו: חאלד כבוב, רעות אברהם-גדליה ונדב קליין </w:t>
      </w:r>
      <w:r w:rsidRPr="00435653">
        <w:rPr>
          <w:rFonts w:ascii="Century" w:hAnsi="Century" w:hint="cs"/>
          <w:rtl/>
        </w:rPr>
        <w:t>"המאסדר כידידו של בית המשפט" (טרם פורסם, צפוי לראות אור במהלך 2024);</w:t>
      </w:r>
      <w:r w:rsidRPr="00435653">
        <w:rPr>
          <w:rFonts w:ascii="David" w:hAnsi="David" w:hint="cs"/>
          <w:rtl/>
        </w:rPr>
        <w:t xml:space="preserve"> ראו גם: </w:t>
      </w:r>
      <w:r w:rsidRPr="00435653">
        <w:rPr>
          <w:rFonts w:ascii="David" w:hAnsi="David"/>
          <w:rtl/>
        </w:rPr>
        <w:t xml:space="preserve">רע"א 7169/17 </w:t>
      </w:r>
      <w:r w:rsidRPr="00435653">
        <w:rPr>
          <w:rFonts w:ascii="Century" w:hAnsi="Century" w:cs="Miriam"/>
          <w:b/>
          <w:spacing w:val="0"/>
          <w:sz w:val="22"/>
          <w:szCs w:val="24"/>
          <w:rtl/>
        </w:rPr>
        <w:t>פלאפון תקשורת בע"מ נ' פירט</w:t>
      </w:r>
      <w:r w:rsidRPr="00435653">
        <w:rPr>
          <w:rFonts w:ascii="David" w:hAnsi="David"/>
          <w:rtl/>
        </w:rPr>
        <w:t xml:space="preserve">, </w:t>
      </w:r>
      <w:r w:rsidRPr="00435653">
        <w:rPr>
          <w:rFonts w:ascii="David" w:hAnsi="David" w:hint="cs"/>
          <w:rtl/>
        </w:rPr>
        <w:t>פסקה</w:t>
      </w:r>
      <w:r w:rsidRPr="00435653">
        <w:rPr>
          <w:rFonts w:ascii="David" w:hAnsi="David"/>
          <w:rtl/>
        </w:rPr>
        <w:t xml:space="preserve"> 10 (03.02.2019)</w:t>
      </w:r>
      <w:r w:rsidRPr="00435653">
        <w:rPr>
          <w:rFonts w:ascii="Century" w:hAnsi="Century" w:hint="cs"/>
          <w:rtl/>
        </w:rPr>
        <w:t>).</w:t>
      </w:r>
    </w:p>
    <w:p w:rsidR="00433434" w:rsidRPr="00435653" w:rsidRDefault="00433434" w:rsidP="00433434">
      <w:pPr>
        <w:pStyle w:val="Ruller4"/>
        <w:spacing w:before="240" w:after="240"/>
        <w:rPr>
          <w:rFonts w:ascii="Century" w:hAnsi="Century"/>
        </w:rPr>
      </w:pPr>
      <w:r w:rsidRPr="00435653">
        <w:rPr>
          <w:rFonts w:hint="cs"/>
          <w:rtl/>
        </w:rPr>
        <w:t xml:space="preserve">כך למשל, במבט משווה </w:t>
      </w:r>
      <w:proofErr w:type="spellStart"/>
      <w:r w:rsidRPr="00435653">
        <w:rPr>
          <w:rFonts w:hint="cs"/>
          <w:rtl/>
        </w:rPr>
        <w:t>למאסדרים</w:t>
      </w:r>
      <w:proofErr w:type="spellEnd"/>
      <w:r w:rsidRPr="00435653">
        <w:rPr>
          <w:rFonts w:hint="cs"/>
          <w:rtl/>
        </w:rPr>
        <w:t xml:space="preserve"> מקבילים דוגמת הרשות לניירות ערך </w:t>
      </w:r>
      <w:r w:rsidRPr="00435653">
        <w:rPr>
          <w:rtl/>
        </w:rPr>
        <w:t>–</w:t>
      </w:r>
      <w:r w:rsidRPr="00435653">
        <w:rPr>
          <w:rFonts w:hint="cs"/>
          <w:rtl/>
        </w:rPr>
        <w:t xml:space="preserve"> הרי שאין זה </w:t>
      </w:r>
      <w:r>
        <w:rPr>
          <w:rFonts w:hint="cs"/>
          <w:rtl/>
        </w:rPr>
        <w:t>מקובל</w:t>
      </w:r>
      <w:r w:rsidRPr="00435653">
        <w:rPr>
          <w:rFonts w:hint="cs"/>
          <w:rtl/>
        </w:rPr>
        <w:t xml:space="preserve"> כי מעמדה וקולה לא יישמע בתחומי </w:t>
      </w:r>
      <w:proofErr w:type="spellStart"/>
      <w:r w:rsidRPr="00435653">
        <w:rPr>
          <w:rFonts w:hint="cs"/>
          <w:rtl/>
        </w:rPr>
        <w:t>אסדרתה</w:t>
      </w:r>
      <w:proofErr w:type="spellEnd"/>
      <w:r w:rsidRPr="00435653">
        <w:rPr>
          <w:rFonts w:hint="cs"/>
          <w:rtl/>
        </w:rPr>
        <w:t xml:space="preserve"> המפורשים בדין. </w:t>
      </w:r>
      <w:r w:rsidRPr="00435653">
        <w:rPr>
          <w:rFonts w:ascii="Century" w:hAnsi="Century" w:hint="cs"/>
          <w:rtl/>
        </w:rPr>
        <w:t>למעשה, עוד בדברי ההסבר להצעת החוק נקבע כי ההוראות הקבועות בפרק הייעודי לה בחוק (פרק ו' בדברי ההסבר להצעת החוק; ופרק ז' בחוק היום), "</w:t>
      </w:r>
      <w:r w:rsidRPr="00435653">
        <w:rPr>
          <w:rFonts w:ascii="Century" w:hAnsi="Century" w:cs="Miriam" w:hint="cs"/>
          <w:b/>
          <w:spacing w:val="0"/>
          <w:szCs w:val="24"/>
          <w:rtl/>
        </w:rPr>
        <w:t>הולכות בעקבות הסדרים שנקבעו לרשויות דומות, כגון רשות ניירות ערך לפי חוק ניירות ערך, תשכ"ח-1968</w:t>
      </w:r>
      <w:r w:rsidRPr="00435653">
        <w:rPr>
          <w:rFonts w:ascii="Century" w:hAnsi="Century" w:hint="cs"/>
          <w:rtl/>
        </w:rPr>
        <w:t xml:space="preserve">" </w:t>
      </w:r>
      <w:r w:rsidRPr="00435653">
        <w:rPr>
          <w:rFonts w:ascii="Century" w:hAnsi="Century"/>
          <w:rtl/>
        </w:rPr>
        <w:t>(</w:t>
      </w:r>
      <w:r w:rsidRPr="00435653">
        <w:rPr>
          <w:rFonts w:ascii="Century" w:hAnsi="Century" w:cs="Miriam" w:hint="eastAsia"/>
          <w:b/>
          <w:spacing w:val="0"/>
          <w:sz w:val="22"/>
          <w:szCs w:val="24"/>
          <w:rtl/>
        </w:rPr>
        <w:t>הצעת</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חוק</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החברות</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הממשלתיות</w:t>
      </w:r>
      <w:r w:rsidRPr="00435653">
        <w:rPr>
          <w:rFonts w:ascii="Century" w:hAnsi="Century"/>
          <w:rtl/>
        </w:rPr>
        <w:t xml:space="preserve">, </w:t>
      </w:r>
      <w:r w:rsidRPr="00435653">
        <w:rPr>
          <w:rFonts w:ascii="Century" w:hAnsi="Century" w:hint="eastAsia"/>
          <w:rtl/>
        </w:rPr>
        <w:t>בעמוד</w:t>
      </w:r>
      <w:r w:rsidRPr="00435653">
        <w:rPr>
          <w:rFonts w:ascii="Century" w:hAnsi="Century"/>
          <w:rtl/>
        </w:rPr>
        <w:t xml:space="preserve"> 330).</w:t>
      </w:r>
      <w:r w:rsidRPr="00435653">
        <w:rPr>
          <w:rtl/>
        </w:rPr>
        <w:t xml:space="preserve"> </w:t>
      </w:r>
      <w:r w:rsidRPr="00435653">
        <w:rPr>
          <w:rFonts w:ascii="Century" w:hAnsi="Century" w:hint="cs"/>
          <w:rtl/>
        </w:rPr>
        <w:t>במובן זה, יועדה הרשות לשמש ככל גוף מאסדר המוקם על-פי דין, וזו מידת החשיבות והרצינות שמצופה שינהגו בה ובעמדותיה.</w:t>
      </w:r>
      <w:r w:rsidRPr="00435653">
        <w:rPr>
          <w:rFonts w:ascii="David" w:hAnsi="David"/>
          <w:color w:val="000000"/>
          <w:rtl/>
        </w:rPr>
        <w:t xml:space="preserve"> </w:t>
      </w:r>
    </w:p>
    <w:p w:rsidR="00433434" w:rsidRPr="008A79B6" w:rsidRDefault="00433434" w:rsidP="008A79B6">
      <w:pPr>
        <w:pStyle w:val="Ruller4"/>
        <w:spacing w:before="240" w:after="240"/>
        <w:rPr>
          <w:rFonts w:ascii="Century" w:hAnsi="Century"/>
          <w:rtl/>
        </w:rPr>
      </w:pPr>
      <w:r>
        <w:rPr>
          <w:rFonts w:ascii="Century" w:hAnsi="Century" w:hint="cs"/>
          <w:rtl/>
        </w:rPr>
        <w:t xml:space="preserve">מכל האמור עד כה עולה, אם כן, כי מכלול </w:t>
      </w:r>
      <w:r w:rsidRPr="00435653">
        <w:rPr>
          <w:rFonts w:ascii="Century" w:hAnsi="Century" w:hint="eastAsia"/>
          <w:rtl/>
        </w:rPr>
        <w:t>הסמכויות</w:t>
      </w:r>
      <w:r w:rsidRPr="00435653">
        <w:rPr>
          <w:rFonts w:ascii="Century" w:hAnsi="Century"/>
          <w:rtl/>
        </w:rPr>
        <w:t xml:space="preserve"> </w:t>
      </w:r>
      <w:r w:rsidRPr="00435653">
        <w:rPr>
          <w:rFonts w:ascii="Century" w:hAnsi="Century" w:hint="eastAsia"/>
          <w:rtl/>
        </w:rPr>
        <w:t>שניתנו</w:t>
      </w:r>
      <w:r w:rsidRPr="00435653">
        <w:rPr>
          <w:rFonts w:ascii="Century" w:hAnsi="Century"/>
          <w:rtl/>
        </w:rPr>
        <w:t xml:space="preserve"> </w:t>
      </w:r>
      <w:r w:rsidRPr="00435653">
        <w:rPr>
          <w:rFonts w:ascii="Century" w:hAnsi="Century" w:hint="eastAsia"/>
          <w:rtl/>
        </w:rPr>
        <w:t>ל</w:t>
      </w:r>
      <w:r>
        <w:rPr>
          <w:rFonts w:ascii="Century" w:hAnsi="Century" w:hint="cs"/>
          <w:rtl/>
        </w:rPr>
        <w:t>רשות החברות הממשלתיות</w:t>
      </w:r>
      <w:r w:rsidRPr="00435653">
        <w:rPr>
          <w:rFonts w:ascii="Century" w:hAnsi="Century"/>
          <w:rtl/>
        </w:rPr>
        <w:t xml:space="preserve"> </w:t>
      </w:r>
      <w:r>
        <w:rPr>
          <w:rFonts w:ascii="Century" w:hAnsi="Century" w:hint="cs"/>
          <w:rtl/>
        </w:rPr>
        <w:t xml:space="preserve">נועדו לאפשר לה לממש את תפקידה, ובכלל זאת לפעול לשם הסדרת </w:t>
      </w:r>
      <w:r w:rsidRPr="00787CF8">
        <w:rPr>
          <w:rFonts w:ascii="Century" w:hAnsi="Century" w:cs="Miriam" w:hint="eastAsia"/>
          <w:b/>
          <w:spacing w:val="0"/>
          <w:sz w:val="22"/>
          <w:szCs w:val="24"/>
          <w:rtl/>
        </w:rPr>
        <w:t>בעיית</w:t>
      </w:r>
      <w:r w:rsidRPr="00787CF8">
        <w:rPr>
          <w:rFonts w:ascii="Century" w:hAnsi="Century" w:cs="Miriam"/>
          <w:b/>
          <w:spacing w:val="0"/>
          <w:sz w:val="22"/>
          <w:szCs w:val="24"/>
          <w:rtl/>
        </w:rPr>
        <w:t xml:space="preserve"> </w:t>
      </w:r>
      <w:r w:rsidRPr="00787CF8">
        <w:rPr>
          <w:rFonts w:ascii="Century" w:hAnsi="Century" w:cs="Miriam" w:hint="eastAsia"/>
          <w:b/>
          <w:spacing w:val="0"/>
          <w:sz w:val="22"/>
          <w:szCs w:val="24"/>
          <w:rtl/>
        </w:rPr>
        <w:t>הנציג</w:t>
      </w:r>
      <w:r w:rsidRPr="00F37E36">
        <w:rPr>
          <w:rFonts w:ascii="Century" w:hAnsi="Century" w:hint="cs"/>
          <w:rtl/>
        </w:rPr>
        <w:t xml:space="preserve"> </w:t>
      </w:r>
      <w:r>
        <w:rPr>
          <w:rFonts w:ascii="Century" w:hAnsi="Century"/>
          <w:rtl/>
        </w:rPr>
        <w:t>–</w:t>
      </w:r>
      <w:r>
        <w:rPr>
          <w:rFonts w:ascii="Century" w:hAnsi="Century" w:hint="cs"/>
          <w:rtl/>
        </w:rPr>
        <w:t xml:space="preserve"> הן זו '</w:t>
      </w:r>
      <w:proofErr w:type="spellStart"/>
      <w:r>
        <w:rPr>
          <w:rFonts w:ascii="Century" w:hAnsi="Century" w:hint="cs"/>
          <w:rtl/>
        </w:rPr>
        <w:t>המינהלית</w:t>
      </w:r>
      <w:proofErr w:type="spellEnd"/>
      <w:r>
        <w:rPr>
          <w:rFonts w:ascii="Century" w:hAnsi="Century" w:hint="cs"/>
          <w:rtl/>
        </w:rPr>
        <w:t>' הן זו 'התאגידית'.</w:t>
      </w:r>
      <w:r w:rsidRPr="00435653">
        <w:rPr>
          <w:rFonts w:ascii="Century" w:hAnsi="Century"/>
          <w:rtl/>
        </w:rPr>
        <w:t xml:space="preserve"> </w:t>
      </w:r>
      <w:r>
        <w:rPr>
          <w:rFonts w:ascii="Century" w:hAnsi="Century" w:hint="cs"/>
          <w:rtl/>
        </w:rPr>
        <w:t>כפי שיבואר מיד, גם יתר הוראות החוק, אשר אינן עוסקות ברשות החברות הממשלתיות, מטפלות בשתי בעיות אלה.</w:t>
      </w:r>
      <w:r w:rsidRPr="008A79B6">
        <w:rPr>
          <w:rFonts w:ascii="Century" w:hAnsi="Century" w:hint="cs"/>
          <w:rtl/>
        </w:rPr>
        <w:t xml:space="preserve"> </w:t>
      </w:r>
    </w:p>
    <w:p w:rsidR="00433434" w:rsidRPr="00435653" w:rsidRDefault="00433434" w:rsidP="00433434">
      <w:pPr>
        <w:pStyle w:val="Ruller41"/>
      </w:pPr>
      <w:r w:rsidRPr="00435653">
        <w:rPr>
          <w:rFonts w:ascii="Century" w:hAnsi="Century" w:cs="Miriam" w:hint="cs"/>
          <w:b/>
          <w:spacing w:val="0"/>
          <w:szCs w:val="24"/>
          <w:rtl/>
        </w:rPr>
        <w:t xml:space="preserve">הוראות חוק החברות הממשלתיות כמבטאות את עקרון הדואליות הנורמטיבית </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בהיבט </w:t>
      </w:r>
      <w:r w:rsidRPr="00435653">
        <w:rPr>
          <w:rFonts w:ascii="Century" w:hAnsi="Century" w:cs="Miriam" w:hint="eastAsia"/>
          <w:b/>
          <w:spacing w:val="0"/>
          <w:sz w:val="22"/>
          <w:szCs w:val="24"/>
          <w:rtl/>
        </w:rPr>
        <w:t>התאגידי</w:t>
      </w:r>
      <w:r w:rsidRPr="00435653">
        <w:rPr>
          <w:rFonts w:ascii="Century" w:hAnsi="Century" w:hint="cs"/>
          <w:sz w:val="22"/>
          <w:rtl/>
        </w:rPr>
        <w:t xml:space="preserve">, חוק החברות הממשלתיות קובע מספר הסדרי ממשל תאגידי הייחודיים לחברה הממשלתית. כך הוא למשל, סעיף 19 לחוק, המסמיך את שר האוצר, בהתייעצות עם הרשות, להתקין תקנות מיוחדות בדבר הגמול וההוצאות שישולמו לדירקטור בחברה ממשלתית. כך גם סעיף 32(א)(4) לחוק מטיל על הדירקטוריון חובה לקבוע את תנאי העסקת המנהל הכללי, כמו גם את תנאי העסקת נושאי משרה בכירים ועובדים בחברה הממשלתית, באישור הממשלה ובהתאם לכללים שקבעה. זהו גם טיבו של סעיף 24(ב) לחוק, האוסר על המנהל הכללי של החברה הממשלתית לכהן כיושב-ראש הדירקטוריון, זאת על מנת לחזק את תפקידו הפיקוחי של הדירקטוריון (יוסף גרוס </w:t>
      </w:r>
      <w:r w:rsidRPr="00435653">
        <w:rPr>
          <w:rFonts w:ascii="Century" w:hAnsi="Century" w:cs="Miriam" w:hint="cs"/>
          <w:b/>
          <w:spacing w:val="0"/>
          <w:sz w:val="22"/>
          <w:szCs w:val="24"/>
          <w:rtl/>
        </w:rPr>
        <w:t xml:space="preserve">חוק החברות החדש </w:t>
      </w:r>
      <w:r w:rsidRPr="00435653">
        <w:rPr>
          <w:rFonts w:ascii="Century" w:hAnsi="Century" w:hint="cs"/>
          <w:sz w:val="22"/>
          <w:rtl/>
        </w:rPr>
        <w:t>207 (מהדורה רביעית 2007)).</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חוק החברות הממשלתיות קובע גם הוראות ייחודיות לגבי אופן פעילות הדירקטוריון. בתוך כך, החוק מסדיר את המניין החוקי בישיבות הדירקטוריון (סעיף 28 </w:t>
      </w:r>
      <w:r w:rsidRPr="00435653">
        <w:rPr>
          <w:rFonts w:ascii="Century" w:hAnsi="Century" w:hint="cs"/>
          <w:sz w:val="22"/>
          <w:rtl/>
        </w:rPr>
        <w:lastRenderedPageBreak/>
        <w:t>לחוק), את מועדי זימונן, קובע מי מוסמך לזמנן ומגדיר את אופן מעורבותם של השרים והרשות בישיבות (סעיפים 27-26 לחוק). עוד מסדיר החוק את סמכות הדירקטוריון למנות ועדות מטעמו ולאצול מסמכויותיו (סעיפים 30-29 לחוק).</w:t>
      </w:r>
    </w:p>
    <w:p w:rsidR="00433434" w:rsidRPr="00435653" w:rsidRDefault="00433434" w:rsidP="00433434">
      <w:pPr>
        <w:pStyle w:val="Ruller4"/>
        <w:spacing w:before="240" w:after="240"/>
        <w:rPr>
          <w:rFonts w:ascii="Century" w:hAnsi="Century"/>
          <w:sz w:val="22"/>
          <w:rtl/>
        </w:rPr>
      </w:pPr>
      <w:r w:rsidRPr="00435653">
        <w:rPr>
          <w:rFonts w:ascii="Century" w:hAnsi="Century" w:hint="cs"/>
          <w:sz w:val="22"/>
          <w:rtl/>
        </w:rPr>
        <w:t xml:space="preserve">לצד כל האמור, סעיף 32 לחוק החברות הממשלתיות קובע שורה ארוכה של פונקציות שעל דירקטוריון החברה הממשלתית למלא, ובכלל זה, כאלה שנועדו לממש את תכליתה העסקית של החברה, אשר מכולן עולה כי המחוקק ביקש להטיל </w:t>
      </w:r>
      <w:r w:rsidRPr="008C4C19">
        <w:rPr>
          <w:rFonts w:ascii="Century" w:hAnsi="Century" w:cs="Miriam" w:hint="cs"/>
          <w:b/>
          <w:spacing w:val="0"/>
          <w:sz w:val="22"/>
          <w:szCs w:val="24"/>
          <w:rtl/>
        </w:rPr>
        <w:t>אחריות מיוחדת וכבדת משקל</w:t>
      </w:r>
      <w:r w:rsidRPr="00435653">
        <w:rPr>
          <w:rFonts w:ascii="Century" w:hAnsi="Century" w:hint="cs"/>
          <w:sz w:val="22"/>
          <w:rtl/>
        </w:rPr>
        <w:t xml:space="preserve"> על דירקטורים בחברה ממשלתית (יוסף גרוס "אופיו המיוחד של דירקטוריון החברה הממשלתית" </w:t>
      </w:r>
      <w:r w:rsidRPr="00435653">
        <w:rPr>
          <w:rFonts w:ascii="Century" w:hAnsi="Century" w:cs="Miriam" w:hint="eastAsia"/>
          <w:b/>
          <w:spacing w:val="0"/>
          <w:sz w:val="22"/>
          <w:szCs w:val="24"/>
          <w:rtl/>
        </w:rPr>
        <w:t>משפטים</w:t>
      </w:r>
      <w:r w:rsidRPr="00435653">
        <w:rPr>
          <w:rFonts w:ascii="Century" w:hAnsi="Century"/>
          <w:sz w:val="22"/>
          <w:rtl/>
        </w:rPr>
        <w:t xml:space="preserve"> </w:t>
      </w:r>
      <w:r w:rsidRPr="00435653">
        <w:rPr>
          <w:rFonts w:ascii="Century" w:hAnsi="Century" w:hint="eastAsia"/>
          <w:sz w:val="22"/>
          <w:rtl/>
        </w:rPr>
        <w:t>ח</w:t>
      </w:r>
      <w:r w:rsidRPr="00435653">
        <w:rPr>
          <w:rFonts w:ascii="Century" w:hAnsi="Century"/>
          <w:sz w:val="22"/>
          <w:rtl/>
        </w:rPr>
        <w:t xml:space="preserve"> 339, 361 (1976)).  </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חוק החברות הממשלתיות מבקש להגן גם על בעלי מניות המיעוט בחברה. כך, בשל ההשלכות המשמעויות הכרוכות בהפיכת חברה פלונית לחברה ממשלתית, הוטלה על המדינה חובה לרכוש את מניותיו של בעל מניות שרצונו בכך, לאחר שהפכה החברה לחברה ממשלתית ובשווין כפי שהיה במועד זה (סעיפים 9(א) ו-9(ג) לחוק החברות הממשלתיות; </w:t>
      </w:r>
      <w:r w:rsidRPr="00435653">
        <w:rPr>
          <w:rFonts w:ascii="Century" w:hAnsi="Century" w:cs="Miriam" w:hint="cs"/>
          <w:b/>
          <w:spacing w:val="0"/>
          <w:sz w:val="22"/>
          <w:szCs w:val="24"/>
          <w:rtl/>
        </w:rPr>
        <w:t xml:space="preserve">גרוס </w:t>
      </w:r>
      <w:r w:rsidRPr="00435653">
        <w:rPr>
          <w:rFonts w:ascii="Century" w:hAnsi="Century" w:cs="Miriam"/>
          <w:b/>
          <w:spacing w:val="0"/>
          <w:sz w:val="22"/>
          <w:szCs w:val="24"/>
          <w:rtl/>
        </w:rPr>
        <w:t>–</w:t>
      </w:r>
      <w:r w:rsidRPr="00435653">
        <w:rPr>
          <w:rFonts w:ascii="Century" w:hAnsi="Century" w:cs="Miriam" w:hint="cs"/>
          <w:b/>
          <w:spacing w:val="0"/>
          <w:sz w:val="22"/>
          <w:szCs w:val="24"/>
          <w:rtl/>
        </w:rPr>
        <w:t xml:space="preserve"> החברה הממשלתית</w:t>
      </w:r>
      <w:r w:rsidRPr="00435653">
        <w:rPr>
          <w:rFonts w:ascii="Century" w:hAnsi="Century" w:hint="cs"/>
          <w:sz w:val="22"/>
          <w:rtl/>
        </w:rPr>
        <w:t>, בעמוד 496).</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טול גם לדוגמא, את סוגיית מינוי נושאי משרה בחברה הממשלתית, ובפרט </w:t>
      </w:r>
      <w:r w:rsidRPr="00435653">
        <w:rPr>
          <w:rFonts w:ascii="Century" w:hAnsi="Century" w:cs="Miriam" w:hint="cs"/>
          <w:b/>
          <w:spacing w:val="0"/>
          <w:sz w:val="22"/>
          <w:szCs w:val="24"/>
          <w:rtl/>
        </w:rPr>
        <w:t>מינויים לדירקטוריון</w:t>
      </w:r>
      <w:r w:rsidRPr="00435653">
        <w:rPr>
          <w:rFonts w:ascii="Century" w:hAnsi="Century" w:hint="cs"/>
          <w:sz w:val="22"/>
          <w:rtl/>
        </w:rPr>
        <w:t xml:space="preserve">. יוער, כי הוראות חוק החברות הממשלתיות בהקשר זה, כוללות אופי </w:t>
      </w:r>
      <w:proofErr w:type="spellStart"/>
      <w:r w:rsidRPr="00435653">
        <w:rPr>
          <w:rFonts w:ascii="Century" w:hAnsi="Century" w:hint="cs"/>
          <w:sz w:val="22"/>
          <w:rtl/>
        </w:rPr>
        <w:t>מינהלי</w:t>
      </w:r>
      <w:proofErr w:type="spellEnd"/>
      <w:r w:rsidRPr="00435653">
        <w:rPr>
          <w:rFonts w:ascii="Century" w:hAnsi="Century" w:hint="cs"/>
          <w:sz w:val="22"/>
          <w:rtl/>
        </w:rPr>
        <w:t xml:space="preserve">-תאגידי מעורב. כפי שציין היטב חברי, השופט </w:t>
      </w:r>
      <w:r w:rsidRPr="00435653">
        <w:rPr>
          <w:rFonts w:ascii="Century" w:hAnsi="Century" w:cs="Miriam" w:hint="cs"/>
          <w:b/>
          <w:spacing w:val="0"/>
          <w:sz w:val="22"/>
          <w:szCs w:val="24"/>
          <w:rtl/>
        </w:rPr>
        <w:t>עמית</w:t>
      </w:r>
      <w:r w:rsidRPr="00435653">
        <w:rPr>
          <w:rFonts w:ascii="Century" w:hAnsi="Century" w:hint="cs"/>
          <w:sz w:val="22"/>
          <w:rtl/>
        </w:rPr>
        <w:t>, תיקון מס' 6 לחוק החברות הממשלתיות בא לעולמו בשנת 1993, בין השאר, "</w:t>
      </w:r>
      <w:r w:rsidRPr="00435653">
        <w:rPr>
          <w:rFonts w:ascii="Century" w:hAnsi="Century" w:cs="Miriam" w:hint="cs"/>
          <w:b/>
          <w:spacing w:val="0"/>
          <w:sz w:val="22"/>
          <w:szCs w:val="24"/>
          <w:rtl/>
        </w:rPr>
        <w:t>על מנת להגן על עצמאותו של הדירקטוריון ולהבטיח קיומו של חיץ מתאים בין הדרג הפוליטי לבין החברה הממשלתית</w:t>
      </w:r>
      <w:r w:rsidRPr="00435653">
        <w:rPr>
          <w:rFonts w:ascii="Century" w:hAnsi="Century" w:hint="cs"/>
          <w:sz w:val="22"/>
          <w:rtl/>
        </w:rPr>
        <w:t xml:space="preserve">" (בפסקה 7 לחוות דעתו; ראו גם: מרדכי בן-דרור "מינוי דירקטורים על פי חוק החברות הממשלתיות, התשל"ה-1975" </w:t>
      </w:r>
      <w:r w:rsidRPr="00435653">
        <w:rPr>
          <w:rFonts w:ascii="Century" w:hAnsi="Century" w:cs="Miriam" w:hint="cs"/>
          <w:b/>
          <w:spacing w:val="0"/>
          <w:sz w:val="22"/>
          <w:szCs w:val="24"/>
          <w:rtl/>
        </w:rPr>
        <w:t>המשפט</w:t>
      </w:r>
      <w:r w:rsidRPr="00435653">
        <w:rPr>
          <w:rFonts w:ascii="Century" w:hAnsi="Century" w:hint="cs"/>
          <w:sz w:val="22"/>
          <w:rtl/>
        </w:rPr>
        <w:t xml:space="preserve"> ד 307, 308 (1998) </w:t>
      </w:r>
      <w:r w:rsidRPr="00435653">
        <w:rPr>
          <w:rFonts w:ascii="Century" w:hAnsi="Century"/>
          <w:sz w:val="22"/>
          <w:rtl/>
        </w:rPr>
        <w:t>(</w:t>
      </w:r>
      <w:r w:rsidRPr="00435653">
        <w:rPr>
          <w:rFonts w:ascii="Century" w:hAnsi="Century" w:hint="eastAsia"/>
          <w:sz w:val="22"/>
          <w:rtl/>
        </w:rPr>
        <w:t>להלן</w:t>
      </w:r>
      <w:r w:rsidRPr="00435653">
        <w:rPr>
          <w:rFonts w:ascii="Century" w:hAnsi="Century"/>
          <w:sz w:val="22"/>
          <w:rtl/>
        </w:rPr>
        <w:t xml:space="preserve">: </w:t>
      </w:r>
      <w:r w:rsidRPr="00435653">
        <w:rPr>
          <w:rFonts w:ascii="Century" w:hAnsi="Century" w:cs="Miriam" w:hint="cs"/>
          <w:b/>
          <w:spacing w:val="0"/>
          <w:sz w:val="22"/>
          <w:szCs w:val="24"/>
          <w:rtl/>
        </w:rPr>
        <w:t>בן-דרור</w:t>
      </w:r>
      <w:r w:rsidRPr="00435653">
        <w:rPr>
          <w:rFonts w:ascii="Century" w:hAnsi="Century" w:hint="cs"/>
          <w:sz w:val="22"/>
          <w:rtl/>
        </w:rPr>
        <w:t>)), כאשר לצד זאת, תיקון זה נועד "</w:t>
      </w:r>
      <w:r w:rsidRPr="00435653">
        <w:rPr>
          <w:rFonts w:ascii="Century" w:hAnsi="Century" w:cs="Miriam"/>
          <w:b/>
          <w:spacing w:val="0"/>
          <w:sz w:val="22"/>
          <w:szCs w:val="24"/>
          <w:rtl/>
        </w:rPr>
        <w:t>להבטיח איוש מיטבי של דירקטוריונים בחברות ממשלתיות בהיבט המקצועי והעסקי</w:t>
      </w:r>
      <w:r w:rsidRPr="00435653">
        <w:rPr>
          <w:rFonts w:ascii="Century" w:hAnsi="Century" w:hint="cs"/>
          <w:sz w:val="22"/>
          <w:rtl/>
        </w:rPr>
        <w:t xml:space="preserve">" (בג"ץ 8173/21 </w:t>
      </w:r>
      <w:r w:rsidRPr="00435653">
        <w:rPr>
          <w:rFonts w:ascii="Century" w:hAnsi="Century" w:cs="Miriam" w:hint="cs"/>
          <w:b/>
          <w:spacing w:val="0"/>
          <w:sz w:val="22"/>
          <w:szCs w:val="24"/>
          <w:rtl/>
        </w:rPr>
        <w:t>התנועה למען איכות השלטון בישראל נ' ממשלת ישראל</w:t>
      </w:r>
      <w:r w:rsidRPr="00435653">
        <w:rPr>
          <w:rFonts w:ascii="Century" w:hAnsi="Century" w:hint="cs"/>
          <w:sz w:val="22"/>
          <w:rtl/>
        </w:rPr>
        <w:t xml:space="preserve">, פסקה 4 לחוות דעתו של השופט </w:t>
      </w:r>
      <w:r w:rsidRPr="00435653">
        <w:rPr>
          <w:rFonts w:ascii="Century" w:hAnsi="Century" w:cs="Miriam" w:hint="cs"/>
          <w:b/>
          <w:spacing w:val="0"/>
          <w:sz w:val="22"/>
          <w:szCs w:val="24"/>
          <w:rtl/>
        </w:rPr>
        <w:t>א' שטיין</w:t>
      </w:r>
      <w:r w:rsidRPr="00435653">
        <w:rPr>
          <w:rFonts w:ascii="Century" w:hAnsi="Century" w:hint="cs"/>
          <w:sz w:val="22"/>
          <w:rtl/>
        </w:rPr>
        <w:t xml:space="preserve"> (22.05.2022)).</w:t>
      </w:r>
    </w:p>
    <w:p w:rsidR="00433434" w:rsidRPr="00674830" w:rsidRDefault="00433434" w:rsidP="00433434">
      <w:pPr>
        <w:pStyle w:val="Ruller4"/>
        <w:spacing w:before="240" w:after="240"/>
        <w:rPr>
          <w:rFonts w:ascii="Century" w:hAnsi="Century"/>
          <w:sz w:val="22"/>
        </w:rPr>
      </w:pPr>
      <w:r w:rsidRPr="00435653">
        <w:rPr>
          <w:rFonts w:ascii="Century" w:hAnsi="Century" w:hint="cs"/>
          <w:sz w:val="22"/>
          <w:rtl/>
        </w:rPr>
        <w:t xml:space="preserve">לשם כך, תיקון מס' 6 קבע תנאי </w:t>
      </w:r>
      <w:r w:rsidRPr="00435653">
        <w:rPr>
          <w:rFonts w:ascii="Century" w:hAnsi="Century" w:cs="Miriam" w:hint="cs"/>
          <w:b/>
          <w:spacing w:val="0"/>
          <w:sz w:val="22"/>
          <w:szCs w:val="24"/>
          <w:rtl/>
        </w:rPr>
        <w:t>כשירות</w:t>
      </w:r>
      <w:r w:rsidRPr="00435653">
        <w:rPr>
          <w:rFonts w:ascii="Century" w:hAnsi="Century" w:hint="cs"/>
          <w:sz w:val="22"/>
          <w:rtl/>
        </w:rPr>
        <w:t xml:space="preserve"> קטגוריים לכהונה בדירקטוריון חברה ממשלתית (סעיף 16א לחוק), את אמות המידה לבחינת התאמתו של המועמד לצורכי החברה (סעיף 18ב(ג)(3) לחוק) וכן </w:t>
      </w:r>
      <w:r w:rsidRPr="00435653">
        <w:rPr>
          <w:rFonts w:ascii="Century" w:hAnsi="Century"/>
          <w:sz w:val="22"/>
          <w:rtl/>
        </w:rPr>
        <w:t>–</w:t>
      </w:r>
      <w:r w:rsidRPr="00435653">
        <w:rPr>
          <w:rFonts w:ascii="Century" w:hAnsi="Century" w:hint="cs"/>
          <w:sz w:val="22"/>
          <w:rtl/>
        </w:rPr>
        <w:t xml:space="preserve"> אסר על מינויו של מועמד לדירקטוריון, אשר עיסוקיו "</w:t>
      </w:r>
      <w:r w:rsidRPr="00435653">
        <w:rPr>
          <w:rFonts w:ascii="Century" w:hAnsi="Century" w:cs="Miriam" w:hint="cs"/>
          <w:b/>
          <w:spacing w:val="0"/>
          <w:sz w:val="22"/>
          <w:szCs w:val="24"/>
          <w:rtl/>
        </w:rPr>
        <w:t>עלולים ליצור ניגוד-</w:t>
      </w:r>
      <w:proofErr w:type="spellStart"/>
      <w:r w:rsidRPr="00435653">
        <w:rPr>
          <w:rFonts w:ascii="Century" w:hAnsi="Century" w:cs="Miriam" w:hint="cs"/>
          <w:b/>
          <w:spacing w:val="0"/>
          <w:sz w:val="22"/>
          <w:szCs w:val="24"/>
          <w:rtl/>
        </w:rPr>
        <w:t>ענינים</w:t>
      </w:r>
      <w:proofErr w:type="spellEnd"/>
      <w:r w:rsidRPr="00435653">
        <w:rPr>
          <w:rFonts w:ascii="Century" w:hAnsi="Century" w:hint="cs"/>
          <w:sz w:val="22"/>
          <w:rtl/>
        </w:rPr>
        <w:t xml:space="preserve">" עם תפקידו (סעיף 17(א)(3) לחוק) או כאשר הוא בעל זיקה כלכלית לחברה או להנהלתה (סעיף 17א לחוק). </w:t>
      </w:r>
      <w:r>
        <w:rPr>
          <w:rFonts w:ascii="Century" w:hAnsi="Century" w:hint="cs"/>
          <w:sz w:val="22"/>
          <w:rtl/>
        </w:rPr>
        <w:t>לצד כל זאת</w:t>
      </w:r>
      <w:r w:rsidRPr="00435653">
        <w:rPr>
          <w:rFonts w:ascii="Century" w:hAnsi="Century" w:hint="cs"/>
          <w:sz w:val="22"/>
          <w:rtl/>
        </w:rPr>
        <w:t>, "</w:t>
      </w:r>
      <w:r w:rsidRPr="00435653">
        <w:rPr>
          <w:rFonts w:ascii="Century" w:hAnsi="Century" w:cs="Miriam" w:hint="cs"/>
          <w:b/>
          <w:spacing w:val="0"/>
          <w:sz w:val="22"/>
          <w:szCs w:val="24"/>
          <w:rtl/>
        </w:rPr>
        <w:t>החוק [אף] שם "אזיקים" מסוימים על ידי השרים וכבל אותם לכישוריהם שחייבים כי יהיו אצל המועמדים המוצעים על ידם</w:t>
      </w:r>
      <w:r w:rsidRPr="00435653">
        <w:rPr>
          <w:rFonts w:ascii="Century" w:hAnsi="Century" w:hint="cs"/>
          <w:sz w:val="22"/>
          <w:rtl/>
        </w:rPr>
        <w:t>" (</w:t>
      </w:r>
      <w:r w:rsidRPr="00435653">
        <w:rPr>
          <w:rFonts w:ascii="Century" w:hAnsi="Century" w:cs="Miriam" w:hint="cs"/>
          <w:b/>
          <w:spacing w:val="0"/>
          <w:sz w:val="22"/>
          <w:szCs w:val="24"/>
          <w:rtl/>
        </w:rPr>
        <w:t>בן-דרור</w:t>
      </w:r>
      <w:r w:rsidRPr="00435653">
        <w:rPr>
          <w:rFonts w:ascii="Century" w:hAnsi="Century" w:hint="cs"/>
          <w:sz w:val="22"/>
          <w:rtl/>
        </w:rPr>
        <w:t>, בעמוד 316).</w:t>
      </w:r>
      <w:r>
        <w:rPr>
          <w:rFonts w:ascii="Century" w:hAnsi="Century" w:hint="cs"/>
          <w:sz w:val="22"/>
          <w:rtl/>
        </w:rPr>
        <w:t xml:space="preserve"> למען שלמות התמונה</w:t>
      </w:r>
      <w:r w:rsidRPr="00674830">
        <w:rPr>
          <w:rFonts w:ascii="Century" w:hAnsi="Century" w:hint="cs"/>
          <w:sz w:val="22"/>
          <w:rtl/>
        </w:rPr>
        <w:t xml:space="preserve">, </w:t>
      </w:r>
      <w:r>
        <w:rPr>
          <w:rFonts w:ascii="Century" w:hAnsi="Century" w:hint="cs"/>
          <w:sz w:val="22"/>
          <w:rtl/>
        </w:rPr>
        <w:t xml:space="preserve">יצוין </w:t>
      </w:r>
      <w:r w:rsidRPr="00674830">
        <w:rPr>
          <w:rFonts w:ascii="Century" w:hAnsi="Century" w:hint="cs"/>
          <w:sz w:val="22"/>
          <w:rtl/>
        </w:rPr>
        <w:t xml:space="preserve">כי חוק החברות </w:t>
      </w:r>
      <w:r w:rsidRPr="00674830">
        <w:rPr>
          <w:rFonts w:ascii="Century" w:hAnsi="Century" w:hint="cs"/>
          <w:sz w:val="22"/>
          <w:rtl/>
        </w:rPr>
        <w:lastRenderedPageBreak/>
        <w:t>הממשלתיות כולל גם הוראות בדבר סמכויותיו, מינויו, השעייתו ופקיעת כהונתו של המנהל הכללי של חברה ממשלתית (ראו: סעיפים 43-37 לחוק).</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אם בכך לא די, מכוח סעיף 18ב לחוק, הוקמה ועדה ציבורית הבודקת את כשירותם של מועמדים לדירקטוריון, לתפקיד יושב ראש הדירקטוריון ולמשרת המנהל הכללי (סעיף 18ב(א) לחוק), זאת על פי תנאי הכשירות המוזכרים, ובהתאם למאפייני החברה הממשלתית והמועמד (ראו: סעיפים 18ב(ג)(1) ו-18ב(ג)(3) לחוק). עוד נקבע, כי כל אימת שמצאה הוועדה כי למועמד פלוני ישנה זיקה לשר משרי הממשלה </w:t>
      </w:r>
      <w:r w:rsidRPr="00435653">
        <w:rPr>
          <w:rFonts w:ascii="Century" w:hAnsi="Century"/>
          <w:sz w:val="22"/>
          <w:rtl/>
        </w:rPr>
        <w:t>–</w:t>
      </w:r>
      <w:r w:rsidRPr="00435653">
        <w:rPr>
          <w:rFonts w:ascii="Century" w:hAnsi="Century" w:hint="cs"/>
          <w:sz w:val="22"/>
          <w:rtl/>
        </w:rPr>
        <w:t xml:space="preserve"> הרי שהיא </w:t>
      </w:r>
      <w:r w:rsidRPr="00435653">
        <w:rPr>
          <w:rFonts w:ascii="Century" w:hAnsi="Century" w:cs="Miriam" w:hint="cs"/>
          <w:b/>
          <w:spacing w:val="0"/>
          <w:sz w:val="22"/>
          <w:szCs w:val="24"/>
          <w:rtl/>
        </w:rPr>
        <w:t xml:space="preserve">"לא </w:t>
      </w:r>
      <w:r w:rsidRPr="00435653">
        <w:rPr>
          <w:rFonts w:ascii="Century" w:hAnsi="Century" w:cs="Miriam"/>
          <w:b/>
          <w:spacing w:val="0"/>
          <w:sz w:val="22"/>
          <w:szCs w:val="24"/>
          <w:rtl/>
        </w:rPr>
        <w:t>תמליץ על מועמדותו זולת אם מצאה כי יש לו כישורים מיוחדים בתחומי פעולתה של החברה, או שקיימים לגביו שיקולים של כשירות מיוחדת אחרת</w:t>
      </w:r>
      <w:r w:rsidRPr="00435653">
        <w:rPr>
          <w:rFonts w:ascii="Century" w:hAnsi="Century" w:hint="cs"/>
          <w:sz w:val="22"/>
          <w:rtl/>
        </w:rPr>
        <w:t xml:space="preserve">" (סעיף 18ג(א) לחוק). </w:t>
      </w:r>
    </w:p>
    <w:p w:rsidR="00433434" w:rsidRPr="00435653" w:rsidRDefault="00433434" w:rsidP="008A79B6">
      <w:pPr>
        <w:pStyle w:val="Ruller41"/>
      </w:pPr>
      <w:r w:rsidRPr="00435653">
        <w:rPr>
          <w:rtl/>
        </w:rPr>
        <w:tab/>
      </w:r>
      <w:r w:rsidRPr="00435653">
        <w:rPr>
          <w:rFonts w:hint="cs"/>
          <w:rtl/>
        </w:rPr>
        <w:t xml:space="preserve">מסירת הכוח בידי הוועדה, במסגרת סעיף 18ב לחוק, נועדה אף היא להרחיק את הדרג הפוליטי מהליך המינוי ולהבטיח את קיומו של הליך מקצועי, ענייני ותקין (ראו למשל: בג"ץ 6777/98 </w:t>
      </w:r>
      <w:r w:rsidRPr="00435653">
        <w:rPr>
          <w:rFonts w:cs="Miriam" w:hint="cs"/>
          <w:b/>
          <w:spacing w:val="0"/>
          <w:szCs w:val="24"/>
          <w:rtl/>
        </w:rPr>
        <w:t>רוזנברג נ' הוועדה לבדיקת מינויים על-פי חוק החברות הממשלתיות, תשל"ה-1975</w:t>
      </w:r>
      <w:r w:rsidRPr="00435653">
        <w:rPr>
          <w:rFonts w:hint="cs"/>
          <w:rtl/>
        </w:rPr>
        <w:t xml:space="preserve">, פ"ד נב(5) 721, 735-733 (1998); בג"ץ 6212/18 </w:t>
      </w:r>
      <w:r w:rsidRPr="00435653">
        <w:rPr>
          <w:rFonts w:cs="Miriam" w:hint="cs"/>
          <w:b/>
          <w:spacing w:val="0"/>
          <w:szCs w:val="24"/>
          <w:rtl/>
        </w:rPr>
        <w:t xml:space="preserve">אדם טבע ודין </w:t>
      </w:r>
      <w:r w:rsidRPr="00435653">
        <w:rPr>
          <w:rFonts w:cs="Miriam"/>
          <w:b/>
          <w:spacing w:val="0"/>
          <w:szCs w:val="24"/>
          <w:rtl/>
        </w:rPr>
        <w:t>–</w:t>
      </w:r>
      <w:r w:rsidRPr="00435653">
        <w:rPr>
          <w:rFonts w:cs="Miriam" w:hint="cs"/>
          <w:b/>
          <w:spacing w:val="0"/>
          <w:szCs w:val="24"/>
          <w:rtl/>
        </w:rPr>
        <w:t xml:space="preserve"> אגודה ישראלית להגנת הסביבה נ' השר להגנת הסביבה</w:t>
      </w:r>
      <w:r w:rsidRPr="00435653">
        <w:rPr>
          <w:rFonts w:hint="cs"/>
          <w:rtl/>
        </w:rPr>
        <w:t xml:space="preserve">, פסקה 12 (07.01.2019)). </w:t>
      </w:r>
    </w:p>
    <w:p w:rsidR="00433434" w:rsidRPr="00435653" w:rsidRDefault="00433434" w:rsidP="00433434">
      <w:pPr>
        <w:pStyle w:val="Ruller4"/>
        <w:spacing w:before="240" w:after="240"/>
        <w:rPr>
          <w:rFonts w:ascii="Arial TUR" w:hAnsi="Arial TUR"/>
          <w:sz w:val="22"/>
          <w:rtl/>
        </w:rPr>
      </w:pPr>
      <w:r w:rsidRPr="00435653">
        <w:rPr>
          <w:rFonts w:ascii="Century" w:hAnsi="Century" w:hint="cs"/>
          <w:sz w:val="22"/>
          <w:rtl/>
        </w:rPr>
        <w:t xml:space="preserve">עינינו הרואות, כי הכללים שנקבעו לעניין מינוי נושאי משרה בחברה הממשלתית, ובפרט לדירקטוריון שלה, בין השאר במסגרת תיקון מס' 6 לחוק החברות הממשלתיות </w:t>
      </w:r>
      <w:r w:rsidRPr="00435653">
        <w:rPr>
          <w:rFonts w:ascii="Century" w:hAnsi="Century"/>
          <w:sz w:val="22"/>
          <w:rtl/>
        </w:rPr>
        <w:t>–</w:t>
      </w:r>
      <w:r w:rsidRPr="00435653">
        <w:rPr>
          <w:rFonts w:ascii="Century" w:hAnsi="Century" w:hint="cs"/>
          <w:sz w:val="22"/>
          <w:rtl/>
        </w:rPr>
        <w:t xml:space="preserve"> נועדו לרסן את כוחם של השרים, תוך הגנה על עצמאות הדירקטורים (ראו: פסקה 26 לחוות דעתו של השופט </w:t>
      </w:r>
      <w:r w:rsidRPr="00435653">
        <w:rPr>
          <w:rFonts w:ascii="Century" w:hAnsi="Century" w:cs="Miriam" w:hint="cs"/>
          <w:b/>
          <w:spacing w:val="0"/>
          <w:sz w:val="22"/>
          <w:szCs w:val="24"/>
          <w:rtl/>
        </w:rPr>
        <w:t>מינץ</w:t>
      </w:r>
      <w:r w:rsidRPr="00435653">
        <w:rPr>
          <w:rFonts w:ascii="Century" w:hAnsi="Century" w:hint="cs"/>
          <w:sz w:val="22"/>
          <w:rtl/>
        </w:rPr>
        <w:t xml:space="preserve">), כמו גם להבטיח את קיומו של ממשל תאגידי ראוי. </w:t>
      </w:r>
    </w:p>
    <w:p w:rsidR="00433434" w:rsidRPr="00435653" w:rsidRDefault="00433434" w:rsidP="008A79B6">
      <w:pPr>
        <w:pStyle w:val="Ruller41"/>
        <w:rPr>
          <w:rStyle w:val="Ruller50"/>
        </w:rPr>
      </w:pPr>
      <w:r w:rsidRPr="00435653">
        <w:rPr>
          <w:rtl/>
        </w:rPr>
        <w:tab/>
      </w:r>
      <w:r w:rsidRPr="00435653">
        <w:rPr>
          <w:rFonts w:hint="cs"/>
          <w:rtl/>
        </w:rPr>
        <w:t>יודגש, כי צורך זה עולה גם מהקווים המנחים שמתווה ארגון ה-</w:t>
      </w:r>
      <w:r w:rsidRPr="00435653">
        <w:rPr>
          <w:rFonts w:hint="cs"/>
        </w:rPr>
        <w:t>OECD</w:t>
      </w:r>
      <w:r w:rsidRPr="00435653">
        <w:rPr>
          <w:rFonts w:hint="cs"/>
          <w:rtl/>
        </w:rPr>
        <w:t xml:space="preserve"> לממשל תאגידי תקין לחברות בבעלות ממשלתית, שם מצוין כי: </w:t>
      </w:r>
    </w:p>
    <w:p w:rsidR="00433434" w:rsidRPr="00435653" w:rsidRDefault="00433434" w:rsidP="00433434">
      <w:pPr>
        <w:pStyle w:val="Ruller5"/>
        <w:rPr>
          <w:rFonts w:ascii="Century" w:hAnsi="Century"/>
        </w:rPr>
      </w:pPr>
      <w:r w:rsidRPr="00435653">
        <w:rPr>
          <w:rFonts w:ascii="Century" w:hAnsi="Century" w:hint="cs"/>
          <w:rtl/>
        </w:rPr>
        <w:t>"יש להגביל את סמכותו של ישות הבעלות להנחות את החברה הממשלתית או את הדירקטוריון שלה לנושאים אסטרטגיים וליעדי מדיניות ציבורית בלבד. המדינה אינה צריכה להיות מעורבת בקבלת החלטות אופרטיביות [...]" ("תרגום הקווים המנחים של ה-</w:t>
      </w:r>
      <w:r w:rsidRPr="00435653">
        <w:rPr>
          <w:rFonts w:ascii="Century" w:hAnsi="Century" w:hint="cs"/>
        </w:rPr>
        <w:t>OECD</w:t>
      </w:r>
      <w:r w:rsidRPr="00435653">
        <w:rPr>
          <w:rFonts w:ascii="Century" w:hAnsi="Century" w:hint="cs"/>
          <w:rtl/>
        </w:rPr>
        <w:t xml:space="preserve"> על ממשל תאגידי בחברות ממשלתיות" </w:t>
      </w:r>
      <w:r w:rsidRPr="00435653">
        <w:rPr>
          <w:rFonts w:ascii="Century" w:hAnsi="Century" w:cs="Miriam" w:hint="cs"/>
          <w:bCs/>
          <w:spacing w:val="0"/>
          <w:szCs w:val="24"/>
        </w:rPr>
        <w:t>OECD</w:t>
      </w:r>
      <w:r w:rsidRPr="00435653">
        <w:rPr>
          <w:rFonts w:ascii="Century" w:hAnsi="Century" w:hint="cs"/>
          <w:rtl/>
        </w:rPr>
        <w:t xml:space="preserve"> 31 (2017)). </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גם במישורים אחרים, מבקש חוק החברות הממשלתיות להפריד "</w:t>
      </w:r>
      <w:r w:rsidRPr="00435653">
        <w:rPr>
          <w:rFonts w:ascii="Century" w:hAnsi="Century" w:cs="Miriam" w:hint="cs"/>
          <w:b/>
          <w:spacing w:val="0"/>
          <w:sz w:val="22"/>
          <w:szCs w:val="24"/>
          <w:rtl/>
        </w:rPr>
        <w:t>בין הניהול השוטף של חברה ממשלתית לבין הבעלים, קרי לבין המדינה השולטת בחברה</w:t>
      </w:r>
      <w:r w:rsidRPr="00435653">
        <w:rPr>
          <w:rFonts w:ascii="Century" w:hAnsi="Century" w:hint="cs"/>
          <w:sz w:val="22"/>
          <w:rtl/>
        </w:rPr>
        <w:t xml:space="preserve">" (עניין </w:t>
      </w:r>
      <w:proofErr w:type="spellStart"/>
      <w:r w:rsidRPr="00435653">
        <w:rPr>
          <w:rFonts w:ascii="Century" w:hAnsi="Century" w:cs="Miriam" w:hint="cs"/>
          <w:b/>
          <w:spacing w:val="0"/>
          <w:sz w:val="22"/>
          <w:szCs w:val="24"/>
          <w:rtl/>
        </w:rPr>
        <w:t>שיף</w:t>
      </w:r>
      <w:proofErr w:type="spellEnd"/>
      <w:r w:rsidRPr="00435653">
        <w:rPr>
          <w:rFonts w:ascii="Century" w:hAnsi="Century" w:hint="cs"/>
          <w:sz w:val="22"/>
          <w:rtl/>
        </w:rPr>
        <w:t xml:space="preserve">, בפסקה 9) 'ולרסן' את כוחו של הדרג הפוליטי כלפיה. דהיינו, להסדיר את </w:t>
      </w:r>
      <w:r w:rsidRPr="00435653">
        <w:rPr>
          <w:rFonts w:ascii="Century" w:hAnsi="Century" w:cs="Miriam" w:hint="eastAsia"/>
          <w:b/>
          <w:spacing w:val="0"/>
          <w:sz w:val="22"/>
          <w:szCs w:val="24"/>
          <w:rtl/>
        </w:rPr>
        <w:t>הפן</w:t>
      </w:r>
      <w:r w:rsidRPr="00435653">
        <w:rPr>
          <w:rFonts w:ascii="Century" w:hAnsi="Century" w:cs="Miriam"/>
          <w:b/>
          <w:spacing w:val="0"/>
          <w:sz w:val="22"/>
          <w:szCs w:val="24"/>
          <w:rtl/>
        </w:rPr>
        <w:t xml:space="preserve"> </w:t>
      </w:r>
      <w:proofErr w:type="spellStart"/>
      <w:r w:rsidRPr="00435653">
        <w:rPr>
          <w:rFonts w:ascii="Century" w:hAnsi="Century" w:cs="Miriam" w:hint="eastAsia"/>
          <w:b/>
          <w:spacing w:val="0"/>
          <w:sz w:val="22"/>
          <w:szCs w:val="24"/>
          <w:rtl/>
        </w:rPr>
        <w:t>המינהלי</w:t>
      </w:r>
      <w:proofErr w:type="spellEnd"/>
      <w:r w:rsidRPr="00435653">
        <w:rPr>
          <w:rFonts w:ascii="Century" w:hAnsi="Century"/>
          <w:sz w:val="22"/>
          <w:rtl/>
        </w:rPr>
        <w:t xml:space="preserve"> </w:t>
      </w:r>
      <w:r w:rsidRPr="00435653">
        <w:rPr>
          <w:rFonts w:ascii="Century" w:hAnsi="Century" w:hint="cs"/>
          <w:sz w:val="22"/>
          <w:rtl/>
        </w:rPr>
        <w:t xml:space="preserve">של החברה הממשלתית. </w:t>
      </w:r>
    </w:p>
    <w:p w:rsidR="00433434" w:rsidRPr="00435653" w:rsidRDefault="00433434" w:rsidP="00433434">
      <w:pPr>
        <w:pStyle w:val="Ruller4"/>
        <w:spacing w:before="240" w:after="240"/>
        <w:rPr>
          <w:rFonts w:ascii="Century" w:hAnsi="Century"/>
          <w:sz w:val="22"/>
          <w:rtl/>
        </w:rPr>
      </w:pPr>
      <w:r w:rsidRPr="00435653">
        <w:rPr>
          <w:rFonts w:ascii="Century" w:hAnsi="Century" w:hint="cs"/>
          <w:sz w:val="22"/>
          <w:rtl/>
        </w:rPr>
        <w:lastRenderedPageBreak/>
        <w:t xml:space="preserve">כך, כפי שפירטו בהרחבה חבריי, כמו במישור </w:t>
      </w:r>
      <w:r w:rsidRPr="00435653">
        <w:rPr>
          <w:rFonts w:ascii="Century" w:hAnsi="Century" w:cs="Miriam" w:hint="cs"/>
          <w:b/>
          <w:spacing w:val="0"/>
          <w:sz w:val="22"/>
          <w:szCs w:val="24"/>
          <w:rtl/>
        </w:rPr>
        <w:t>מינוי הדירקטורים</w:t>
      </w:r>
      <w:r w:rsidRPr="00435653">
        <w:rPr>
          <w:rFonts w:ascii="Century" w:hAnsi="Century" w:hint="cs"/>
          <w:sz w:val="22"/>
          <w:rtl/>
        </w:rPr>
        <w:t>, כך גם במישור</w:t>
      </w:r>
      <w:r w:rsidRPr="00435653">
        <w:rPr>
          <w:rFonts w:ascii="Century" w:hAnsi="Century" w:cs="Miriam" w:hint="cs"/>
          <w:b/>
          <w:spacing w:val="0"/>
          <w:sz w:val="22"/>
          <w:szCs w:val="24"/>
          <w:rtl/>
        </w:rPr>
        <w:t xml:space="preserve"> פיטורי הדירקטורים</w:t>
      </w:r>
      <w:r w:rsidRPr="00435653">
        <w:rPr>
          <w:rFonts w:ascii="Century" w:hAnsi="Century" w:hint="cs"/>
          <w:sz w:val="22"/>
          <w:rtl/>
        </w:rPr>
        <w:t xml:space="preserve">, ביקש המחוקק להגביל את כוחם של השרים (בפסקאות 25-24 ו-29-28 לחוות דעתו של השופט </w:t>
      </w:r>
      <w:r w:rsidRPr="00435653">
        <w:rPr>
          <w:rFonts w:ascii="Century" w:hAnsi="Century" w:cs="Miriam" w:hint="cs"/>
          <w:b/>
          <w:spacing w:val="0"/>
          <w:sz w:val="22"/>
          <w:szCs w:val="24"/>
          <w:rtl/>
        </w:rPr>
        <w:t>מינץ</w:t>
      </w:r>
      <w:r w:rsidRPr="00435653">
        <w:rPr>
          <w:rFonts w:ascii="Century" w:hAnsi="Century" w:hint="cs"/>
          <w:sz w:val="22"/>
          <w:rtl/>
        </w:rPr>
        <w:t xml:space="preserve">; בפסקאות 10-9 לחוות דעתו של השופט </w:t>
      </w:r>
      <w:r w:rsidRPr="00435653">
        <w:rPr>
          <w:rFonts w:ascii="Century" w:hAnsi="Century" w:cs="Miriam" w:hint="cs"/>
          <w:b/>
          <w:spacing w:val="0"/>
          <w:sz w:val="22"/>
          <w:szCs w:val="24"/>
          <w:rtl/>
        </w:rPr>
        <w:t>עמית</w:t>
      </w:r>
      <w:r w:rsidRPr="00435653">
        <w:rPr>
          <w:rFonts w:ascii="Century" w:hAnsi="Century" w:hint="cs"/>
          <w:sz w:val="22"/>
          <w:rtl/>
        </w:rPr>
        <w:t xml:space="preserve">; ראו גם: בג"ץ 4566/90 </w:t>
      </w:r>
      <w:r w:rsidRPr="00435653">
        <w:rPr>
          <w:rFonts w:ascii="Century" w:hAnsi="Century" w:cs="Miriam" w:hint="cs"/>
          <w:b/>
          <w:spacing w:val="0"/>
          <w:sz w:val="22"/>
          <w:szCs w:val="24"/>
          <w:rtl/>
        </w:rPr>
        <w:t>דקל נ' שר האוצר</w:t>
      </w:r>
      <w:r w:rsidRPr="00435653">
        <w:rPr>
          <w:rFonts w:ascii="Century" w:hAnsi="Century" w:hint="cs"/>
          <w:sz w:val="22"/>
          <w:rtl/>
        </w:rPr>
        <w:t xml:space="preserve">, פ"ד מה(1) 28, 44 (1990)). שהלוא, בניגוד להוראה החלה על דירקטורים בחברות אחרות, המאפשרת לאספה הכללית לפטרם בכל עת, בכפוף לשימוע </w:t>
      </w:r>
      <w:r w:rsidRPr="00435653">
        <w:rPr>
          <w:rFonts w:ascii="Century" w:hAnsi="Century"/>
          <w:sz w:val="22"/>
          <w:rtl/>
        </w:rPr>
        <w:t>–</w:t>
      </w:r>
      <w:r w:rsidRPr="00435653">
        <w:rPr>
          <w:rFonts w:ascii="Century" w:hAnsi="Century" w:hint="cs"/>
          <w:sz w:val="22"/>
          <w:rtl/>
        </w:rPr>
        <w:t xml:space="preserve"> כהונתו של דירקטור בחברה ממשלתית פוקעת אך ורק בהתקיים עילה מסוימת מתוך רשימה סגורה של עילות הקבועות בסעיף 22 לחוק (ראו: יוסף גרוס </w:t>
      </w:r>
      <w:r w:rsidRPr="00435653">
        <w:rPr>
          <w:rFonts w:ascii="Century" w:hAnsi="Century" w:cs="Miriam" w:hint="cs"/>
          <w:b/>
          <w:spacing w:val="0"/>
          <w:sz w:val="22"/>
          <w:szCs w:val="24"/>
          <w:rtl/>
        </w:rPr>
        <w:t xml:space="preserve">דירקטורים ונושאי משרה בחברה </w:t>
      </w:r>
      <w:r w:rsidRPr="00435653">
        <w:rPr>
          <w:rFonts w:ascii="Century" w:hAnsi="Century" w:hint="cs"/>
          <w:sz w:val="22"/>
          <w:rtl/>
        </w:rPr>
        <w:t xml:space="preserve">133 (1989); השוו: סעיף 230 לחוק החברות). מתוך רשימה זו, רק שתי עילות מאפשרות </w:t>
      </w:r>
      <w:r w:rsidRPr="00435653">
        <w:rPr>
          <w:rFonts w:ascii="Century" w:hAnsi="Century" w:cs="Miriam" w:hint="cs"/>
          <w:b/>
          <w:spacing w:val="0"/>
          <w:sz w:val="22"/>
          <w:szCs w:val="24"/>
          <w:rtl/>
        </w:rPr>
        <w:t>לשרים</w:t>
      </w:r>
      <w:r w:rsidRPr="00435653">
        <w:rPr>
          <w:rFonts w:ascii="Century" w:hAnsi="Century" w:hint="cs"/>
          <w:sz w:val="22"/>
          <w:rtl/>
        </w:rPr>
        <w:t xml:space="preserve"> </w:t>
      </w:r>
      <w:r w:rsidRPr="00741BB3">
        <w:rPr>
          <w:rFonts w:ascii="Century" w:hAnsi="Century" w:cs="Miriam" w:hint="cs"/>
          <w:b/>
          <w:spacing w:val="0"/>
          <w:sz w:val="22"/>
          <w:szCs w:val="24"/>
          <w:rtl/>
        </w:rPr>
        <w:t>לפטר</w:t>
      </w:r>
      <w:r w:rsidRPr="00741BB3">
        <w:rPr>
          <w:rFonts w:ascii="Century" w:hAnsi="Century" w:hint="cs"/>
          <w:sz w:val="22"/>
          <w:rtl/>
        </w:rPr>
        <w:t xml:space="preserve"> </w:t>
      </w:r>
      <w:r w:rsidRPr="00435653">
        <w:rPr>
          <w:rFonts w:ascii="Century" w:hAnsi="Century" w:hint="cs"/>
          <w:sz w:val="22"/>
          <w:rtl/>
        </w:rPr>
        <w:t xml:space="preserve">את הדירקטור, ואחת מהן היא, כאמור, העילה הקבועה </w:t>
      </w:r>
      <w:r w:rsidRPr="00435653">
        <w:rPr>
          <w:rFonts w:ascii="Century" w:hAnsi="Century" w:hint="eastAsia"/>
          <w:sz w:val="22"/>
          <w:rtl/>
        </w:rPr>
        <w:t>בסעיף</w:t>
      </w:r>
      <w:r w:rsidRPr="00435653">
        <w:rPr>
          <w:rFonts w:ascii="Century" w:hAnsi="Century"/>
          <w:sz w:val="22"/>
          <w:rtl/>
        </w:rPr>
        <w:t xml:space="preserve"> 22(</w:t>
      </w:r>
      <w:r w:rsidRPr="00435653">
        <w:rPr>
          <w:rFonts w:ascii="Century" w:hAnsi="Century" w:hint="eastAsia"/>
          <w:sz w:val="22"/>
          <w:rtl/>
        </w:rPr>
        <w:t>א</w:t>
      </w:r>
      <w:r w:rsidRPr="00435653">
        <w:rPr>
          <w:rFonts w:ascii="Century" w:hAnsi="Century"/>
          <w:sz w:val="22"/>
          <w:rtl/>
        </w:rPr>
        <w:t xml:space="preserve">)(6) </w:t>
      </w:r>
      <w:r w:rsidRPr="00435653">
        <w:rPr>
          <w:rFonts w:ascii="Century" w:hAnsi="Century" w:hint="eastAsia"/>
          <w:sz w:val="22"/>
          <w:rtl/>
        </w:rPr>
        <w:t>לחוק</w:t>
      </w:r>
      <w:r w:rsidRPr="00435653">
        <w:rPr>
          <w:rFonts w:ascii="Century" w:hAnsi="Century"/>
          <w:sz w:val="22"/>
          <w:rtl/>
        </w:rPr>
        <w:t xml:space="preserve">, </w:t>
      </w:r>
      <w:r w:rsidRPr="00435653">
        <w:rPr>
          <w:rFonts w:ascii="Century" w:hAnsi="Century" w:hint="eastAsia"/>
          <w:sz w:val="22"/>
          <w:rtl/>
        </w:rPr>
        <w:t>המצוי</w:t>
      </w:r>
      <w:r w:rsidRPr="00435653">
        <w:rPr>
          <w:rFonts w:ascii="Century" w:hAnsi="Century"/>
          <w:sz w:val="22"/>
          <w:rtl/>
        </w:rPr>
        <w:t xml:space="preserve"> </w:t>
      </w:r>
      <w:r w:rsidRPr="00435653">
        <w:rPr>
          <w:rFonts w:ascii="Century" w:hAnsi="Century" w:hint="eastAsia"/>
          <w:sz w:val="22"/>
          <w:rtl/>
        </w:rPr>
        <w:t>במוקד</w:t>
      </w:r>
      <w:r w:rsidRPr="00435653">
        <w:rPr>
          <w:rFonts w:ascii="Century" w:hAnsi="Century"/>
          <w:sz w:val="22"/>
          <w:rtl/>
        </w:rPr>
        <w:t xml:space="preserve"> </w:t>
      </w:r>
      <w:r w:rsidRPr="00435653">
        <w:rPr>
          <w:rFonts w:ascii="Century" w:hAnsi="Century" w:hint="eastAsia"/>
          <w:sz w:val="22"/>
          <w:rtl/>
        </w:rPr>
        <w:t>ענייננו</w:t>
      </w:r>
      <w:r w:rsidRPr="00435653">
        <w:rPr>
          <w:rFonts w:ascii="Century" w:hAnsi="Century"/>
          <w:sz w:val="22"/>
          <w:rtl/>
        </w:rPr>
        <w:t>.</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המסקנה המתבקשת מהאמור עד כה, היא כי כאשר רשות ציבורית, בכלל זה השרים, מפעילים כלפי החברה סמכות מכוח חוק החברות הממשלתיות, על הפעלת הסמכות חולשות שתי מערכות דינים, זאת </w:t>
      </w:r>
      <w:r w:rsidRPr="00435653">
        <w:rPr>
          <w:rFonts w:ascii="Century" w:hAnsi="Century" w:hint="eastAsia"/>
          <w:sz w:val="22"/>
          <w:rtl/>
        </w:rPr>
        <w:t>בראי</w:t>
      </w:r>
      <w:r w:rsidRPr="00435653">
        <w:rPr>
          <w:rFonts w:ascii="Century" w:hAnsi="Century"/>
          <w:sz w:val="22"/>
          <w:rtl/>
        </w:rPr>
        <w:t xml:space="preserve"> </w:t>
      </w:r>
      <w:r w:rsidRPr="00435653">
        <w:rPr>
          <w:rFonts w:ascii="Century" w:hAnsi="Century" w:hint="eastAsia"/>
          <w:sz w:val="22"/>
          <w:rtl/>
        </w:rPr>
        <w:t>עקרון</w:t>
      </w:r>
      <w:r w:rsidRPr="00435653">
        <w:rPr>
          <w:rFonts w:ascii="Century" w:hAnsi="Century"/>
          <w:sz w:val="22"/>
          <w:rtl/>
        </w:rPr>
        <w:t xml:space="preserve"> </w:t>
      </w:r>
      <w:r w:rsidRPr="00435653">
        <w:rPr>
          <w:rFonts w:ascii="Century" w:hAnsi="Century" w:hint="eastAsia"/>
          <w:sz w:val="22"/>
          <w:rtl/>
        </w:rPr>
        <w:t>הדואליות</w:t>
      </w:r>
      <w:r w:rsidRPr="00435653">
        <w:rPr>
          <w:rFonts w:ascii="Century" w:hAnsi="Century"/>
          <w:sz w:val="22"/>
          <w:rtl/>
        </w:rPr>
        <w:t xml:space="preserve"> </w:t>
      </w:r>
      <w:r w:rsidRPr="00435653">
        <w:rPr>
          <w:rFonts w:ascii="Century" w:hAnsi="Century" w:hint="eastAsia"/>
          <w:sz w:val="22"/>
          <w:rtl/>
        </w:rPr>
        <w:t>הנורמטיבית</w:t>
      </w:r>
      <w:r w:rsidRPr="00435653">
        <w:rPr>
          <w:rFonts w:ascii="Century" w:hAnsi="Century"/>
          <w:sz w:val="22"/>
          <w:rtl/>
        </w:rPr>
        <w:t xml:space="preserve">.  </w:t>
      </w:r>
    </w:p>
    <w:p w:rsidR="00433434" w:rsidRPr="00435653" w:rsidRDefault="00433434" w:rsidP="00433434">
      <w:pPr>
        <w:pStyle w:val="Ruller4"/>
        <w:spacing w:before="240" w:after="240"/>
        <w:rPr>
          <w:rFonts w:ascii="Century" w:hAnsi="Century"/>
          <w:sz w:val="22"/>
        </w:rPr>
      </w:pPr>
      <w:r w:rsidRPr="00435653">
        <w:rPr>
          <w:rFonts w:ascii="Century" w:hAnsi="Century" w:cs="Miriam" w:hint="cs"/>
          <w:b/>
          <w:spacing w:val="0"/>
          <w:sz w:val="22"/>
          <w:szCs w:val="24"/>
          <w:rtl/>
        </w:rPr>
        <w:t>ראשית</w:t>
      </w:r>
      <w:r w:rsidRPr="00435653">
        <w:rPr>
          <w:rFonts w:ascii="Century" w:hAnsi="Century" w:hint="cs"/>
          <w:sz w:val="22"/>
          <w:rtl/>
        </w:rPr>
        <w:t xml:space="preserve">, הפעלת הסמכות כפופה לעקרונות הכלליים של המשפט </w:t>
      </w:r>
      <w:proofErr w:type="spellStart"/>
      <w:r w:rsidRPr="00435653">
        <w:rPr>
          <w:rFonts w:ascii="Century" w:hAnsi="Century" w:hint="cs"/>
          <w:sz w:val="22"/>
          <w:rtl/>
        </w:rPr>
        <w:t>המינהלי</w:t>
      </w:r>
      <w:proofErr w:type="spellEnd"/>
      <w:r w:rsidRPr="00435653">
        <w:rPr>
          <w:rFonts w:ascii="Century" w:hAnsi="Century" w:hint="cs"/>
          <w:sz w:val="22"/>
          <w:rtl/>
        </w:rPr>
        <w:t xml:space="preserve">, כמו גם להוראות חוק החברות הממשלתיות, הנושאות אופי </w:t>
      </w:r>
      <w:proofErr w:type="spellStart"/>
      <w:r w:rsidRPr="00435653">
        <w:rPr>
          <w:rFonts w:ascii="Century" w:hAnsi="Century" w:hint="cs"/>
          <w:sz w:val="22"/>
          <w:rtl/>
        </w:rPr>
        <w:t>מינהלי</w:t>
      </w:r>
      <w:proofErr w:type="spellEnd"/>
      <w:r w:rsidRPr="00435653">
        <w:rPr>
          <w:rFonts w:ascii="Century" w:hAnsi="Century" w:hint="cs"/>
          <w:sz w:val="22"/>
          <w:rtl/>
        </w:rPr>
        <w:t xml:space="preserve"> (פסקה 28 לחוות דעתו של השופט </w:t>
      </w:r>
      <w:r w:rsidRPr="00435653">
        <w:rPr>
          <w:rFonts w:ascii="Century" w:hAnsi="Century" w:cs="Miriam" w:hint="cs"/>
          <w:b/>
          <w:spacing w:val="0"/>
          <w:sz w:val="22"/>
          <w:szCs w:val="24"/>
          <w:rtl/>
        </w:rPr>
        <w:t>מינץ</w:t>
      </w:r>
      <w:r w:rsidRPr="00435653">
        <w:rPr>
          <w:rFonts w:ascii="Century" w:hAnsi="Century" w:hint="cs"/>
          <w:sz w:val="22"/>
          <w:rtl/>
        </w:rPr>
        <w:t xml:space="preserve">). כך היא, למשל, הפעלת הסמכות מכוח סעיף 22(א)(6), בו עסקינן. </w:t>
      </w:r>
      <w:r>
        <w:rPr>
          <w:rFonts w:ascii="Century" w:hAnsi="Century" w:hint="cs"/>
          <w:sz w:val="22"/>
          <w:rtl/>
        </w:rPr>
        <w:t>שכן</w:t>
      </w:r>
      <w:r w:rsidRPr="00435653">
        <w:rPr>
          <w:rFonts w:ascii="Century" w:hAnsi="Century" w:hint="cs"/>
          <w:sz w:val="22"/>
          <w:rtl/>
        </w:rPr>
        <w:t xml:space="preserve">, כפי שציין חברי, השופט </w:t>
      </w:r>
      <w:r w:rsidRPr="00435653">
        <w:rPr>
          <w:rFonts w:ascii="Century" w:hAnsi="Century" w:cs="Miriam" w:hint="cs"/>
          <w:b/>
          <w:spacing w:val="0"/>
          <w:sz w:val="22"/>
          <w:szCs w:val="24"/>
          <w:rtl/>
        </w:rPr>
        <w:t>מינץ</w:t>
      </w:r>
      <w:r w:rsidRPr="00435653">
        <w:rPr>
          <w:rFonts w:ascii="Century" w:hAnsi="Century" w:hint="cs"/>
          <w:sz w:val="22"/>
          <w:rtl/>
        </w:rPr>
        <w:t xml:space="preserve">, הפעלת סמכות זו כפופה לחובות </w:t>
      </w:r>
      <w:r w:rsidRPr="00435653">
        <w:rPr>
          <w:rFonts w:ascii="Century" w:hAnsi="Century" w:cs="Miriam" w:hint="cs"/>
          <w:b/>
          <w:spacing w:val="0"/>
          <w:sz w:val="22"/>
          <w:szCs w:val="24"/>
          <w:rtl/>
        </w:rPr>
        <w:t>הכלליות</w:t>
      </w:r>
      <w:r w:rsidRPr="00435653">
        <w:rPr>
          <w:rFonts w:ascii="Century" w:hAnsi="Century" w:hint="cs"/>
          <w:sz w:val="22"/>
          <w:rtl/>
        </w:rPr>
        <w:t xml:space="preserve"> במשפט </w:t>
      </w:r>
      <w:proofErr w:type="spellStart"/>
      <w:r w:rsidRPr="00435653">
        <w:rPr>
          <w:rFonts w:ascii="Century" w:hAnsi="Century" w:hint="cs"/>
          <w:sz w:val="22"/>
          <w:rtl/>
        </w:rPr>
        <w:t>המינהלי</w:t>
      </w:r>
      <w:proofErr w:type="spellEnd"/>
      <w:r w:rsidRPr="00435653">
        <w:rPr>
          <w:rFonts w:ascii="Century" w:hAnsi="Century" w:hint="cs"/>
          <w:sz w:val="22"/>
          <w:rtl/>
        </w:rPr>
        <w:t xml:space="preserve">, בדבר איסוף תשתית הולמת ומתן זכות טיעון (בפסקאות 32 ו-34 לחוות דעתו); וכך גם, הפעלת הסמכות מכוח סעיף 22(א)(6) כפופה לחובת ההיוועצות </w:t>
      </w:r>
      <w:r w:rsidRPr="00435653">
        <w:rPr>
          <w:rFonts w:ascii="Century" w:hAnsi="Century" w:cs="Miriam" w:hint="cs"/>
          <w:b/>
          <w:spacing w:val="0"/>
          <w:sz w:val="22"/>
          <w:szCs w:val="24"/>
          <w:rtl/>
        </w:rPr>
        <w:t>הסטטוטורית</w:t>
      </w:r>
      <w:r w:rsidRPr="00435653">
        <w:rPr>
          <w:rFonts w:ascii="Century" w:hAnsi="Century" w:hint="cs"/>
          <w:sz w:val="22"/>
          <w:rtl/>
        </w:rPr>
        <w:t xml:space="preserve">, אשר נקבעה בו באופן פרטני (פסקה 33 לחוות דעתו של השופט </w:t>
      </w:r>
      <w:r w:rsidRPr="00435653">
        <w:rPr>
          <w:rFonts w:ascii="Century" w:hAnsi="Century" w:cs="Miriam" w:hint="cs"/>
          <w:b/>
          <w:spacing w:val="0"/>
          <w:sz w:val="22"/>
          <w:szCs w:val="24"/>
          <w:rtl/>
        </w:rPr>
        <w:t>מינץ</w:t>
      </w:r>
      <w:r w:rsidRPr="00435653">
        <w:rPr>
          <w:rFonts w:ascii="Century" w:hAnsi="Century" w:hint="cs"/>
          <w:sz w:val="22"/>
          <w:rtl/>
        </w:rPr>
        <w:t>).</w:t>
      </w:r>
    </w:p>
    <w:p w:rsidR="00433434" w:rsidRPr="00435653" w:rsidRDefault="00433434" w:rsidP="00433434">
      <w:pPr>
        <w:pStyle w:val="Ruller4"/>
        <w:spacing w:before="240" w:after="240"/>
        <w:rPr>
          <w:rFonts w:ascii="Century" w:hAnsi="Century" w:cs="Miriam"/>
          <w:b/>
          <w:spacing w:val="0"/>
          <w:sz w:val="22"/>
          <w:szCs w:val="24"/>
        </w:rPr>
      </w:pPr>
      <w:r w:rsidRPr="00435653">
        <w:rPr>
          <w:rFonts w:ascii="Century" w:hAnsi="Century" w:cs="Miriam" w:hint="cs"/>
          <w:b/>
          <w:spacing w:val="0"/>
          <w:sz w:val="22"/>
          <w:szCs w:val="24"/>
          <w:rtl/>
        </w:rPr>
        <w:t>שנית</w:t>
      </w:r>
      <w:r w:rsidRPr="00435653">
        <w:rPr>
          <w:rFonts w:ascii="Century" w:hAnsi="Century" w:hint="cs"/>
          <w:sz w:val="22"/>
          <w:rtl/>
        </w:rPr>
        <w:t xml:space="preserve">, הפעלת הסמכות על ידי השר מהווה, הלכה למעשה, </w:t>
      </w:r>
      <w:r w:rsidRPr="00435653">
        <w:rPr>
          <w:rFonts w:ascii="Century" w:hAnsi="Century" w:cs="Miriam" w:hint="cs"/>
          <w:b/>
          <w:spacing w:val="0"/>
          <w:sz w:val="22"/>
          <w:szCs w:val="24"/>
          <w:rtl/>
        </w:rPr>
        <w:t>הפעלת שליטתה</w:t>
      </w:r>
      <w:r w:rsidRPr="00435653">
        <w:rPr>
          <w:rFonts w:ascii="Century" w:hAnsi="Century" w:hint="cs"/>
          <w:sz w:val="22"/>
          <w:rtl/>
        </w:rPr>
        <w:t xml:space="preserve"> של הממשלה (המשמשת כאורגן של המדינה) </w:t>
      </w:r>
      <w:r w:rsidRPr="00435653">
        <w:rPr>
          <w:rFonts w:ascii="Century" w:hAnsi="Century"/>
          <w:sz w:val="22"/>
          <w:rtl/>
        </w:rPr>
        <w:t>–</w:t>
      </w:r>
      <w:r w:rsidRPr="00435653">
        <w:rPr>
          <w:rFonts w:ascii="Century" w:hAnsi="Century" w:hint="cs"/>
          <w:sz w:val="22"/>
          <w:rtl/>
        </w:rPr>
        <w:t xml:space="preserve"> בחברה הממשלתית. משכך, הפעלת השליטה כפופה גם כן לחובות המוטלות מכוח דיני החברות על בעלי השליטה, ובתוך כך לחובת ההגינות ולאיסור הקיפוח. </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החובות מכוח המשפט </w:t>
      </w:r>
      <w:proofErr w:type="spellStart"/>
      <w:r w:rsidRPr="00435653">
        <w:rPr>
          <w:rFonts w:ascii="Century" w:hAnsi="Century" w:hint="cs"/>
          <w:sz w:val="22"/>
          <w:rtl/>
        </w:rPr>
        <w:t>המינהלי</w:t>
      </w:r>
      <w:proofErr w:type="spellEnd"/>
      <w:r w:rsidRPr="00435653">
        <w:rPr>
          <w:rFonts w:ascii="Century" w:hAnsi="Century" w:hint="cs"/>
          <w:sz w:val="22"/>
          <w:rtl/>
        </w:rPr>
        <w:t xml:space="preserve"> ודיני החברות, כאמור, חלות בצוותא </w:t>
      </w:r>
      <w:proofErr w:type="spellStart"/>
      <w:r w:rsidRPr="00435653">
        <w:rPr>
          <w:rFonts w:ascii="Century" w:hAnsi="Century" w:hint="cs"/>
          <w:sz w:val="22"/>
          <w:rtl/>
        </w:rPr>
        <w:t>חדא</w:t>
      </w:r>
      <w:proofErr w:type="spellEnd"/>
      <w:r w:rsidRPr="00435653">
        <w:rPr>
          <w:rFonts w:ascii="Century" w:hAnsi="Century" w:hint="cs"/>
          <w:sz w:val="22"/>
          <w:rtl/>
        </w:rPr>
        <w:t>. יש שהן חופפות, יש שהן מצטברות. ראוי לשאוף להרמוניה ביניהן. בתוך כך, תפקיד משמעותי ואחריות כבדה הוטלו על כתפיה של רשות החברות הממשלתיות, כגורם הרגולטורי המאסדר את פעילות החברות הממשלתיות, בשני מישורים אלה גם יחד.</w:t>
      </w:r>
    </w:p>
    <w:p w:rsidR="00433434" w:rsidRDefault="00433434" w:rsidP="00433434">
      <w:pPr>
        <w:pStyle w:val="Ruller4"/>
        <w:spacing w:before="240" w:after="240"/>
        <w:rPr>
          <w:rFonts w:ascii="Century" w:hAnsi="Century"/>
          <w:sz w:val="22"/>
        </w:rPr>
      </w:pPr>
      <w:r w:rsidRPr="00435653">
        <w:rPr>
          <w:rFonts w:ascii="Century" w:hAnsi="Century" w:hint="cs"/>
          <w:sz w:val="22"/>
          <w:rtl/>
        </w:rPr>
        <w:t xml:space="preserve">אומנם, אין זה המקום להכריע בשאלת הנפקות המעשית של תחולת שתי מערכות הדינים, ובכלל זה ביחס לנפקות של הפרה של חובה </w:t>
      </w:r>
      <w:proofErr w:type="spellStart"/>
      <w:r w:rsidRPr="00435653">
        <w:rPr>
          <w:rFonts w:ascii="Century" w:hAnsi="Century" w:hint="cs"/>
          <w:sz w:val="22"/>
          <w:rtl/>
        </w:rPr>
        <w:t>מינהלית</w:t>
      </w:r>
      <w:proofErr w:type="spellEnd"/>
      <w:r w:rsidRPr="00435653">
        <w:rPr>
          <w:rFonts w:ascii="Century" w:hAnsi="Century" w:hint="cs"/>
          <w:sz w:val="22"/>
          <w:rtl/>
        </w:rPr>
        <w:t xml:space="preserve"> במישור האזרחי (ראו והשוו: רע"א 2063/16 </w:t>
      </w:r>
      <w:r w:rsidRPr="00435653">
        <w:rPr>
          <w:rFonts w:ascii="Century" w:hAnsi="Century" w:cs="Miriam" w:hint="cs"/>
          <w:b/>
          <w:spacing w:val="0"/>
          <w:sz w:val="22"/>
          <w:szCs w:val="24"/>
          <w:rtl/>
        </w:rPr>
        <w:t>הרב יהודה גליק נ' משטרת ישראל</w:t>
      </w:r>
      <w:r w:rsidRPr="00435653">
        <w:rPr>
          <w:rFonts w:ascii="Century" w:hAnsi="Century" w:hint="cs"/>
          <w:sz w:val="22"/>
          <w:rtl/>
        </w:rPr>
        <w:t xml:space="preserve"> (19.01.2017); אהוד </w:t>
      </w:r>
      <w:proofErr w:type="spellStart"/>
      <w:r w:rsidRPr="00435653">
        <w:rPr>
          <w:rFonts w:ascii="Century" w:hAnsi="Century" w:hint="cs"/>
          <w:sz w:val="22"/>
          <w:rtl/>
        </w:rPr>
        <w:lastRenderedPageBreak/>
        <w:t>גוטל</w:t>
      </w:r>
      <w:proofErr w:type="spellEnd"/>
      <w:r w:rsidRPr="00435653">
        <w:rPr>
          <w:rFonts w:ascii="Century" w:hAnsi="Century" w:hint="cs"/>
          <w:sz w:val="22"/>
          <w:rtl/>
        </w:rPr>
        <w:t xml:space="preserve">, ליאת </w:t>
      </w:r>
      <w:proofErr w:type="spellStart"/>
      <w:r w:rsidRPr="00435653">
        <w:rPr>
          <w:rFonts w:ascii="Century" w:hAnsi="Century" w:hint="cs"/>
          <w:sz w:val="22"/>
          <w:rtl/>
        </w:rPr>
        <w:t>דאטש</w:t>
      </w:r>
      <w:proofErr w:type="spellEnd"/>
      <w:r w:rsidRPr="00435653">
        <w:rPr>
          <w:rFonts w:ascii="Century" w:hAnsi="Century" w:hint="cs"/>
          <w:sz w:val="22"/>
          <w:rtl/>
        </w:rPr>
        <w:t xml:space="preserve"> ויובל </w:t>
      </w:r>
      <w:proofErr w:type="spellStart"/>
      <w:r w:rsidRPr="00435653">
        <w:rPr>
          <w:rFonts w:ascii="Century" w:hAnsi="Century" w:hint="cs"/>
          <w:sz w:val="22"/>
          <w:rtl/>
        </w:rPr>
        <w:t>פרוקצ'יה</w:t>
      </w:r>
      <w:proofErr w:type="spellEnd"/>
      <w:r w:rsidRPr="00435653">
        <w:rPr>
          <w:rFonts w:ascii="Century" w:hAnsi="Century" w:hint="cs"/>
          <w:sz w:val="22"/>
          <w:rtl/>
        </w:rPr>
        <w:t xml:space="preserve"> "מתואמים או משלימים? דיני </w:t>
      </w:r>
      <w:proofErr w:type="spellStart"/>
      <w:r w:rsidRPr="00435653">
        <w:rPr>
          <w:rFonts w:ascii="Century" w:hAnsi="Century" w:hint="cs"/>
          <w:sz w:val="22"/>
          <w:rtl/>
        </w:rPr>
        <w:t>הנזיקין</w:t>
      </w:r>
      <w:proofErr w:type="spellEnd"/>
      <w:r w:rsidRPr="00435653">
        <w:rPr>
          <w:rFonts w:ascii="Century" w:hAnsi="Century" w:hint="cs"/>
          <w:sz w:val="22"/>
          <w:rtl/>
        </w:rPr>
        <w:t xml:space="preserve"> והפסיקה בבג"ץ" </w:t>
      </w:r>
      <w:r w:rsidRPr="00435653">
        <w:rPr>
          <w:rFonts w:ascii="Century" w:hAnsi="Century" w:cs="Miriam" w:hint="cs"/>
          <w:b/>
          <w:spacing w:val="0"/>
          <w:sz w:val="22"/>
          <w:szCs w:val="24"/>
          <w:rtl/>
        </w:rPr>
        <w:t>משפטים</w:t>
      </w:r>
      <w:r w:rsidRPr="00435653">
        <w:rPr>
          <w:rFonts w:ascii="Century" w:hAnsi="Century" w:hint="cs"/>
          <w:sz w:val="22"/>
          <w:rtl/>
        </w:rPr>
        <w:t xml:space="preserve"> נ 713 (2021)); או, מן העבר השני, לדון במשמעותה </w:t>
      </w:r>
      <w:proofErr w:type="spellStart"/>
      <w:r w:rsidRPr="00435653">
        <w:rPr>
          <w:rFonts w:ascii="Century" w:hAnsi="Century" w:hint="cs"/>
          <w:sz w:val="22"/>
          <w:rtl/>
        </w:rPr>
        <w:t>המינהלית</w:t>
      </w:r>
      <w:proofErr w:type="spellEnd"/>
      <w:r w:rsidRPr="00435653">
        <w:rPr>
          <w:rFonts w:ascii="Century" w:hAnsi="Century" w:hint="cs"/>
          <w:sz w:val="22"/>
          <w:rtl/>
        </w:rPr>
        <w:t xml:space="preserve"> של הפרת חובה מכוח דיני החברות. אך יחד עם זאת, וכפי שאציין להלן, סבורני כי לא זו בלבד שנפלו פגמים </w:t>
      </w:r>
      <w:proofErr w:type="spellStart"/>
      <w:r w:rsidRPr="00435653">
        <w:rPr>
          <w:rFonts w:ascii="Century" w:hAnsi="Century" w:hint="cs"/>
          <w:sz w:val="22"/>
          <w:rtl/>
        </w:rPr>
        <w:t>מינהליים</w:t>
      </w:r>
      <w:proofErr w:type="spellEnd"/>
      <w:r w:rsidRPr="00435653">
        <w:rPr>
          <w:rFonts w:ascii="Century" w:hAnsi="Century" w:hint="cs"/>
          <w:sz w:val="22"/>
          <w:rtl/>
        </w:rPr>
        <w:t xml:space="preserve"> בהליך קבלת ההחלטה בענייננו</w:t>
      </w:r>
      <w:r w:rsidRPr="00435653">
        <w:rPr>
          <w:rFonts w:ascii="Century" w:hAnsi="Century"/>
          <w:sz w:val="22"/>
          <w:rtl/>
        </w:rPr>
        <w:t xml:space="preserve">, </w:t>
      </w:r>
      <w:r w:rsidRPr="00435653">
        <w:rPr>
          <w:rFonts w:ascii="Century" w:hAnsi="Century" w:hint="eastAsia"/>
          <w:sz w:val="22"/>
          <w:rtl/>
        </w:rPr>
        <w:t>אשר</w:t>
      </w:r>
      <w:r w:rsidRPr="00435653">
        <w:rPr>
          <w:rFonts w:ascii="Century" w:hAnsi="Century"/>
          <w:sz w:val="22"/>
          <w:rtl/>
        </w:rPr>
        <w:t xml:space="preserve"> </w:t>
      </w:r>
      <w:r w:rsidRPr="00435653">
        <w:rPr>
          <w:rFonts w:ascii="Century" w:hAnsi="Century" w:hint="eastAsia"/>
          <w:sz w:val="22"/>
          <w:rtl/>
        </w:rPr>
        <w:t>די</w:t>
      </w:r>
      <w:r w:rsidRPr="00435653">
        <w:rPr>
          <w:rFonts w:ascii="Century" w:hAnsi="Century"/>
          <w:sz w:val="22"/>
          <w:rtl/>
        </w:rPr>
        <w:t xml:space="preserve"> </w:t>
      </w:r>
      <w:r w:rsidRPr="00435653">
        <w:rPr>
          <w:rFonts w:ascii="Century" w:hAnsi="Century" w:hint="eastAsia"/>
          <w:sz w:val="22"/>
          <w:rtl/>
        </w:rPr>
        <w:t>בהם</w:t>
      </w:r>
      <w:r w:rsidRPr="00435653">
        <w:rPr>
          <w:rFonts w:ascii="Century" w:hAnsi="Century"/>
          <w:sz w:val="22"/>
          <w:rtl/>
        </w:rPr>
        <w:t xml:space="preserve"> </w:t>
      </w:r>
      <w:r w:rsidRPr="00435653">
        <w:rPr>
          <w:rFonts w:ascii="Century" w:hAnsi="Century" w:hint="eastAsia"/>
          <w:sz w:val="22"/>
          <w:rtl/>
        </w:rPr>
        <w:t>כדי</w:t>
      </w:r>
      <w:r w:rsidRPr="00435653">
        <w:rPr>
          <w:rFonts w:ascii="Century" w:hAnsi="Century"/>
          <w:sz w:val="22"/>
          <w:rtl/>
        </w:rPr>
        <w:t xml:space="preserve"> </w:t>
      </w:r>
      <w:r w:rsidRPr="00435653">
        <w:rPr>
          <w:rFonts w:ascii="Century" w:hAnsi="Century" w:hint="eastAsia"/>
          <w:sz w:val="22"/>
          <w:rtl/>
        </w:rPr>
        <w:t>להצדיק</w:t>
      </w:r>
      <w:r w:rsidRPr="00435653">
        <w:rPr>
          <w:rFonts w:ascii="Century" w:hAnsi="Century"/>
          <w:sz w:val="22"/>
          <w:rtl/>
        </w:rPr>
        <w:t xml:space="preserve"> </w:t>
      </w:r>
      <w:r w:rsidRPr="00435653">
        <w:rPr>
          <w:rFonts w:ascii="Century" w:hAnsi="Century" w:hint="eastAsia"/>
          <w:sz w:val="22"/>
          <w:rtl/>
        </w:rPr>
        <w:t>את</w:t>
      </w:r>
      <w:r w:rsidRPr="00435653">
        <w:rPr>
          <w:rFonts w:ascii="Century" w:hAnsi="Century"/>
          <w:sz w:val="22"/>
          <w:rtl/>
        </w:rPr>
        <w:t xml:space="preserve"> </w:t>
      </w:r>
      <w:r w:rsidRPr="00435653">
        <w:rPr>
          <w:rFonts w:ascii="Century" w:hAnsi="Century" w:hint="eastAsia"/>
          <w:sz w:val="22"/>
          <w:rtl/>
        </w:rPr>
        <w:t>קבלת</w:t>
      </w:r>
      <w:r w:rsidRPr="00435653">
        <w:rPr>
          <w:rFonts w:ascii="Century" w:hAnsi="Century"/>
          <w:sz w:val="22"/>
          <w:rtl/>
        </w:rPr>
        <w:t xml:space="preserve"> </w:t>
      </w:r>
      <w:r w:rsidRPr="00435653">
        <w:rPr>
          <w:rFonts w:ascii="Century" w:hAnsi="Century" w:hint="eastAsia"/>
          <w:sz w:val="22"/>
          <w:rtl/>
        </w:rPr>
        <w:t>העתירה</w:t>
      </w:r>
      <w:r w:rsidRPr="00435653">
        <w:rPr>
          <w:rFonts w:ascii="Century" w:hAnsi="Century"/>
          <w:sz w:val="22"/>
          <w:rtl/>
        </w:rPr>
        <w:t xml:space="preserve">; </w:t>
      </w:r>
      <w:r w:rsidRPr="00435653">
        <w:rPr>
          <w:rFonts w:ascii="Century" w:hAnsi="Century" w:hint="eastAsia"/>
          <w:sz w:val="22"/>
          <w:rtl/>
        </w:rPr>
        <w:t>אלא</w:t>
      </w:r>
      <w:r w:rsidRPr="00435653">
        <w:rPr>
          <w:rFonts w:ascii="Century" w:hAnsi="Century"/>
          <w:sz w:val="22"/>
          <w:rtl/>
        </w:rPr>
        <w:t xml:space="preserve"> </w:t>
      </w:r>
      <w:r w:rsidRPr="00435653">
        <w:rPr>
          <w:rFonts w:ascii="Century" w:hAnsi="Century" w:hint="eastAsia"/>
          <w:sz w:val="22"/>
          <w:rtl/>
        </w:rPr>
        <w:t>גם</w:t>
      </w:r>
      <w:r w:rsidRPr="00435653">
        <w:rPr>
          <w:rFonts w:ascii="Century" w:hAnsi="Century"/>
          <w:sz w:val="22"/>
          <w:rtl/>
        </w:rPr>
        <w:t xml:space="preserve">, </w:t>
      </w:r>
      <w:r>
        <w:rPr>
          <w:rFonts w:ascii="Century" w:hAnsi="Century" w:hint="cs"/>
          <w:sz w:val="22"/>
          <w:rtl/>
        </w:rPr>
        <w:t>שהליך קבלת ההחלטה מעורר</w:t>
      </w:r>
      <w:r w:rsidRPr="00435653">
        <w:rPr>
          <w:rFonts w:ascii="Century" w:hAnsi="Century"/>
          <w:sz w:val="22"/>
          <w:rtl/>
        </w:rPr>
        <w:t xml:space="preserve"> </w:t>
      </w:r>
      <w:r w:rsidRPr="00435653">
        <w:rPr>
          <w:rFonts w:ascii="Century" w:hAnsi="Century" w:hint="eastAsia"/>
          <w:sz w:val="22"/>
          <w:rtl/>
        </w:rPr>
        <w:t>שאלות</w:t>
      </w:r>
      <w:r w:rsidRPr="00435653">
        <w:rPr>
          <w:rFonts w:ascii="Century" w:hAnsi="Century"/>
          <w:sz w:val="22"/>
          <w:rtl/>
        </w:rPr>
        <w:t xml:space="preserve"> </w:t>
      </w:r>
      <w:r w:rsidRPr="00435653">
        <w:rPr>
          <w:rFonts w:ascii="Century" w:hAnsi="Century" w:hint="eastAsia"/>
          <w:sz w:val="22"/>
          <w:rtl/>
        </w:rPr>
        <w:t>כבדות</w:t>
      </w:r>
      <w:r w:rsidRPr="00435653">
        <w:rPr>
          <w:rFonts w:ascii="Century" w:hAnsi="Century"/>
          <w:sz w:val="22"/>
          <w:rtl/>
        </w:rPr>
        <w:t xml:space="preserve"> </w:t>
      </w:r>
      <w:r w:rsidRPr="00435653">
        <w:rPr>
          <w:rFonts w:ascii="Century" w:hAnsi="Century" w:hint="eastAsia"/>
          <w:sz w:val="22"/>
          <w:rtl/>
        </w:rPr>
        <w:t>משקל</w:t>
      </w:r>
      <w:r w:rsidRPr="00435653">
        <w:rPr>
          <w:rFonts w:ascii="Century" w:hAnsi="Century"/>
          <w:sz w:val="22"/>
          <w:rtl/>
        </w:rPr>
        <w:t xml:space="preserve"> </w:t>
      </w:r>
      <w:r w:rsidRPr="00435653">
        <w:rPr>
          <w:rFonts w:ascii="Century" w:hAnsi="Century" w:hint="eastAsia"/>
          <w:sz w:val="22"/>
          <w:rtl/>
        </w:rPr>
        <w:t>בהיבט</w:t>
      </w:r>
      <w:r w:rsidRPr="00435653">
        <w:rPr>
          <w:rFonts w:ascii="Century" w:hAnsi="Century"/>
          <w:sz w:val="22"/>
          <w:rtl/>
        </w:rPr>
        <w:t xml:space="preserve"> </w:t>
      </w:r>
      <w:r w:rsidRPr="00435653">
        <w:rPr>
          <w:rFonts w:ascii="Century" w:hAnsi="Century" w:cs="Miriam" w:hint="eastAsia"/>
          <w:b/>
          <w:spacing w:val="0"/>
          <w:sz w:val="22"/>
          <w:szCs w:val="24"/>
          <w:rtl/>
        </w:rPr>
        <w:t>התאגידי</w:t>
      </w:r>
      <w:r w:rsidRPr="00435653">
        <w:rPr>
          <w:rFonts w:ascii="Century" w:hAnsi="Century"/>
          <w:sz w:val="22"/>
          <w:rtl/>
        </w:rPr>
        <w:t xml:space="preserve">. </w:t>
      </w:r>
      <w:r w:rsidRPr="00435653">
        <w:rPr>
          <w:rFonts w:ascii="Century" w:hAnsi="Century" w:hint="eastAsia"/>
          <w:sz w:val="22"/>
          <w:rtl/>
        </w:rPr>
        <w:t>כמו</w:t>
      </w:r>
      <w:r w:rsidRPr="00435653">
        <w:rPr>
          <w:rFonts w:ascii="Century" w:hAnsi="Century"/>
          <w:sz w:val="22"/>
          <w:rtl/>
        </w:rPr>
        <w:t xml:space="preserve"> </w:t>
      </w:r>
      <w:r w:rsidRPr="00435653">
        <w:rPr>
          <w:rFonts w:ascii="Century" w:hAnsi="Century" w:hint="eastAsia"/>
          <w:sz w:val="22"/>
          <w:rtl/>
        </w:rPr>
        <w:t>כן</w:t>
      </w:r>
      <w:r w:rsidRPr="00435653">
        <w:rPr>
          <w:rFonts w:ascii="Century" w:hAnsi="Century"/>
          <w:sz w:val="22"/>
          <w:rtl/>
        </w:rPr>
        <w:t xml:space="preserve">, </w:t>
      </w:r>
      <w:r w:rsidRPr="00435653">
        <w:rPr>
          <w:rFonts w:ascii="Century" w:hAnsi="Century" w:hint="eastAsia"/>
          <w:sz w:val="22"/>
          <w:rtl/>
        </w:rPr>
        <w:t>הליך</w:t>
      </w:r>
      <w:r w:rsidRPr="00435653">
        <w:rPr>
          <w:rFonts w:ascii="Century" w:hAnsi="Century"/>
          <w:sz w:val="22"/>
          <w:rtl/>
        </w:rPr>
        <w:t xml:space="preserve"> </w:t>
      </w:r>
      <w:r>
        <w:rPr>
          <w:rFonts w:ascii="Century" w:hAnsi="Century" w:hint="cs"/>
          <w:sz w:val="22"/>
          <w:rtl/>
        </w:rPr>
        <w:t>זה</w:t>
      </w:r>
      <w:r w:rsidRPr="00435653">
        <w:rPr>
          <w:rFonts w:ascii="Century" w:hAnsi="Century"/>
          <w:sz w:val="22"/>
          <w:rtl/>
        </w:rPr>
        <w:t xml:space="preserve"> </w:t>
      </w:r>
      <w:r w:rsidRPr="00435653">
        <w:rPr>
          <w:rFonts w:ascii="Century" w:hAnsi="Century" w:hint="eastAsia"/>
          <w:sz w:val="22"/>
          <w:rtl/>
        </w:rPr>
        <w:t>מעורר</w:t>
      </w:r>
      <w:r w:rsidRPr="00435653">
        <w:rPr>
          <w:rFonts w:ascii="Century" w:hAnsi="Century"/>
          <w:sz w:val="22"/>
          <w:rtl/>
        </w:rPr>
        <w:t xml:space="preserve"> </w:t>
      </w:r>
      <w:r w:rsidRPr="00435653">
        <w:rPr>
          <w:rFonts w:ascii="Century" w:hAnsi="Century" w:hint="eastAsia"/>
          <w:sz w:val="22"/>
          <w:rtl/>
        </w:rPr>
        <w:t>קשיים</w:t>
      </w:r>
      <w:r w:rsidRPr="00435653">
        <w:rPr>
          <w:rFonts w:ascii="Century" w:hAnsi="Century"/>
          <w:sz w:val="22"/>
          <w:rtl/>
        </w:rPr>
        <w:t xml:space="preserve"> </w:t>
      </w:r>
      <w:r w:rsidRPr="00435653">
        <w:rPr>
          <w:rFonts w:ascii="Century" w:hAnsi="Century" w:hint="eastAsia"/>
          <w:sz w:val="22"/>
          <w:rtl/>
        </w:rPr>
        <w:t>משמעותיים</w:t>
      </w:r>
      <w:r w:rsidRPr="00435653">
        <w:rPr>
          <w:rFonts w:ascii="Century" w:hAnsi="Century"/>
          <w:sz w:val="22"/>
          <w:rtl/>
        </w:rPr>
        <w:t xml:space="preserve"> </w:t>
      </w:r>
      <w:r w:rsidRPr="00435653">
        <w:rPr>
          <w:rFonts w:ascii="Century" w:hAnsi="Century" w:hint="eastAsia"/>
          <w:sz w:val="22"/>
          <w:rtl/>
        </w:rPr>
        <w:t>בהתייחס</w:t>
      </w:r>
      <w:r w:rsidRPr="00435653">
        <w:rPr>
          <w:rFonts w:ascii="Century" w:hAnsi="Century"/>
          <w:sz w:val="22"/>
          <w:rtl/>
        </w:rPr>
        <w:t xml:space="preserve"> </w:t>
      </w:r>
      <w:r w:rsidRPr="00435653">
        <w:rPr>
          <w:rFonts w:ascii="Century" w:hAnsi="Century" w:hint="eastAsia"/>
          <w:sz w:val="22"/>
          <w:rtl/>
        </w:rPr>
        <w:t>לחובת</w:t>
      </w:r>
      <w:r w:rsidRPr="00435653">
        <w:rPr>
          <w:rFonts w:ascii="Century" w:hAnsi="Century"/>
          <w:sz w:val="22"/>
          <w:rtl/>
        </w:rPr>
        <w:t xml:space="preserve"> </w:t>
      </w:r>
      <w:r w:rsidRPr="00435653">
        <w:rPr>
          <w:rFonts w:ascii="Century" w:hAnsi="Century" w:hint="eastAsia"/>
          <w:sz w:val="22"/>
          <w:rtl/>
        </w:rPr>
        <w:t>ההיוועצות</w:t>
      </w:r>
      <w:r w:rsidRPr="00435653">
        <w:rPr>
          <w:rFonts w:ascii="Century" w:hAnsi="Century"/>
          <w:sz w:val="22"/>
          <w:rtl/>
        </w:rPr>
        <w:t xml:space="preserve"> </w:t>
      </w:r>
      <w:r w:rsidRPr="00435653">
        <w:rPr>
          <w:rFonts w:ascii="Century" w:hAnsi="Century" w:hint="eastAsia"/>
          <w:sz w:val="22"/>
          <w:rtl/>
        </w:rPr>
        <w:t>ברשות</w:t>
      </w:r>
      <w:r w:rsidRPr="00435653">
        <w:rPr>
          <w:rFonts w:ascii="Century" w:hAnsi="Century"/>
          <w:sz w:val="22"/>
          <w:rtl/>
        </w:rPr>
        <w:t xml:space="preserve"> </w:t>
      </w:r>
      <w:r w:rsidRPr="00435653">
        <w:rPr>
          <w:rFonts w:ascii="Century" w:hAnsi="Century" w:hint="eastAsia"/>
          <w:sz w:val="22"/>
          <w:rtl/>
        </w:rPr>
        <w:t>החברות</w:t>
      </w:r>
      <w:r w:rsidRPr="00435653">
        <w:rPr>
          <w:rFonts w:ascii="Century" w:hAnsi="Century"/>
          <w:sz w:val="22"/>
          <w:rtl/>
        </w:rPr>
        <w:t xml:space="preserve"> </w:t>
      </w:r>
      <w:r w:rsidRPr="00435653">
        <w:rPr>
          <w:rFonts w:ascii="Century" w:hAnsi="Century" w:hint="eastAsia"/>
          <w:sz w:val="22"/>
          <w:rtl/>
        </w:rPr>
        <w:t>הממשלתיות</w:t>
      </w:r>
      <w:r w:rsidRPr="00435653">
        <w:rPr>
          <w:rFonts w:ascii="Century" w:hAnsi="Century"/>
          <w:sz w:val="22"/>
          <w:rtl/>
        </w:rPr>
        <w:t xml:space="preserve">, </w:t>
      </w:r>
      <w:r w:rsidRPr="00435653">
        <w:rPr>
          <w:rFonts w:ascii="Century" w:hAnsi="Century" w:hint="eastAsia"/>
          <w:sz w:val="22"/>
          <w:rtl/>
        </w:rPr>
        <w:t>הגורם</w:t>
      </w:r>
      <w:r w:rsidRPr="00435653">
        <w:rPr>
          <w:rFonts w:ascii="Century" w:hAnsi="Century"/>
          <w:sz w:val="22"/>
          <w:rtl/>
        </w:rPr>
        <w:t xml:space="preserve"> </w:t>
      </w:r>
      <w:r w:rsidRPr="00435653">
        <w:rPr>
          <w:rFonts w:ascii="Century" w:hAnsi="Century" w:hint="eastAsia"/>
          <w:sz w:val="22"/>
          <w:rtl/>
        </w:rPr>
        <w:t>המאסדר</w:t>
      </w:r>
      <w:r w:rsidRPr="00435653">
        <w:rPr>
          <w:rFonts w:ascii="Century" w:hAnsi="Century"/>
          <w:sz w:val="22"/>
          <w:rtl/>
        </w:rPr>
        <w:t xml:space="preserve"> </w:t>
      </w:r>
      <w:r w:rsidRPr="00435653">
        <w:rPr>
          <w:rFonts w:ascii="Century" w:hAnsi="Century" w:hint="eastAsia"/>
          <w:sz w:val="22"/>
          <w:rtl/>
        </w:rPr>
        <w:t>בענייננו</w:t>
      </w:r>
      <w:r w:rsidRPr="00435653">
        <w:rPr>
          <w:rFonts w:ascii="Century" w:hAnsi="Century"/>
          <w:sz w:val="22"/>
          <w:rtl/>
        </w:rPr>
        <w:t>.</w:t>
      </w:r>
    </w:p>
    <w:p w:rsidR="00433434" w:rsidRPr="00435653" w:rsidRDefault="00433434" w:rsidP="00433434">
      <w:pPr>
        <w:pStyle w:val="Ruller4"/>
        <w:spacing w:before="240" w:after="240"/>
        <w:rPr>
          <w:rFonts w:ascii="Century" w:hAnsi="Century"/>
          <w:sz w:val="22"/>
          <w:rtl/>
        </w:rPr>
      </w:pPr>
      <w:r>
        <w:rPr>
          <w:rFonts w:ascii="Century" w:hAnsi="Century" w:hint="cs"/>
          <w:sz w:val="22"/>
          <w:rtl/>
        </w:rPr>
        <w:t xml:space="preserve">טרם אדרש לסוגיה זו מצאתי לציין, כי בדומה לחברי השופט </w:t>
      </w:r>
      <w:r>
        <w:rPr>
          <w:rFonts w:ascii="Century" w:hAnsi="Century" w:cs="Miriam" w:hint="cs"/>
          <w:b/>
          <w:spacing w:val="0"/>
          <w:sz w:val="22"/>
          <w:szCs w:val="24"/>
          <w:rtl/>
        </w:rPr>
        <w:t>מינץ</w:t>
      </w:r>
      <w:r>
        <w:rPr>
          <w:rFonts w:ascii="Century" w:hAnsi="Century" w:hint="cs"/>
          <w:sz w:val="22"/>
          <w:rtl/>
        </w:rPr>
        <w:t xml:space="preserve">, גם אני סבור שסעיף 22(א)(6) לחוק החברות הממשלתיות אכן מסמיך את השרים להורות על העברתו מתפקיד של יושב ראש דירקטוריון. יחד עם זאת, במחלוקת שנתגלעה בין חבריי בעניין זה, דעתי כדעת השופט </w:t>
      </w:r>
      <w:r>
        <w:rPr>
          <w:rFonts w:ascii="Century" w:hAnsi="Century" w:cs="Miriam" w:hint="cs"/>
          <w:b/>
          <w:spacing w:val="0"/>
          <w:sz w:val="22"/>
          <w:szCs w:val="24"/>
          <w:rtl/>
        </w:rPr>
        <w:t>עמית</w:t>
      </w:r>
      <w:r>
        <w:rPr>
          <w:rFonts w:ascii="Century" w:hAnsi="Century" w:hint="cs"/>
          <w:sz w:val="22"/>
          <w:rtl/>
        </w:rPr>
        <w:t xml:space="preserve"> </w:t>
      </w:r>
      <w:r>
        <w:rPr>
          <w:rFonts w:ascii="Century" w:hAnsi="Century"/>
          <w:sz w:val="22"/>
          <w:rtl/>
        </w:rPr>
        <w:t>–</w:t>
      </w:r>
      <w:r>
        <w:rPr>
          <w:rFonts w:ascii="Century" w:hAnsi="Century" w:hint="cs"/>
          <w:sz w:val="22"/>
          <w:rtl/>
        </w:rPr>
        <w:t xml:space="preserve"> כי יש להעניק משקל משמעותי לעובדה שבחלוף כמעט שנות דור, מאז נחקק החוק, שרי ממשלות ישראל בחרו שלא לעשות שימוש בסמכות חריגה זו, עד לעניינו של העותר (השוו: בג"ץ 1195/10 </w:t>
      </w:r>
      <w:r>
        <w:rPr>
          <w:rFonts w:ascii="Century" w:hAnsi="Century" w:cs="Miriam" w:hint="cs"/>
          <w:b/>
          <w:spacing w:val="0"/>
          <w:sz w:val="22"/>
          <w:szCs w:val="24"/>
          <w:rtl/>
        </w:rPr>
        <w:t>מרכז השלטון המקומי נ' הרשות הממשלתית למים ולביוב</w:t>
      </w:r>
      <w:r>
        <w:rPr>
          <w:rFonts w:ascii="Century" w:hAnsi="Century" w:hint="cs"/>
          <w:sz w:val="22"/>
          <w:rtl/>
        </w:rPr>
        <w:t xml:space="preserve">, פסקה ל"ז לחוות דעתו של השופט </w:t>
      </w:r>
      <w:r>
        <w:rPr>
          <w:rFonts w:ascii="Century" w:hAnsi="Century" w:cs="Miriam" w:hint="cs"/>
          <w:b/>
          <w:spacing w:val="0"/>
          <w:sz w:val="22"/>
          <w:szCs w:val="24"/>
          <w:rtl/>
        </w:rPr>
        <w:t>א' רובינשטיין</w:t>
      </w:r>
      <w:r>
        <w:rPr>
          <w:rFonts w:ascii="Century" w:hAnsi="Century" w:hint="cs"/>
          <w:sz w:val="22"/>
          <w:rtl/>
        </w:rPr>
        <w:t xml:space="preserve"> (13.11.2014)), וכך עשיתי גם אני.</w:t>
      </w:r>
      <w:r w:rsidRPr="00435653">
        <w:rPr>
          <w:rFonts w:ascii="Century" w:hAnsi="Century"/>
          <w:color w:val="FF0000"/>
          <w:sz w:val="22"/>
          <w:rtl/>
        </w:rPr>
        <w:t xml:space="preserve"> </w:t>
      </w:r>
    </w:p>
    <w:p w:rsidR="00433434" w:rsidRPr="00435653" w:rsidRDefault="00433434" w:rsidP="00433434">
      <w:pPr>
        <w:pStyle w:val="Ruller41"/>
        <w:rPr>
          <w:rFonts w:ascii="Century" w:hAnsi="Century" w:cs="Miriam"/>
          <w:b/>
          <w:spacing w:val="0"/>
          <w:szCs w:val="24"/>
          <w:rtl/>
        </w:rPr>
      </w:pPr>
      <w:r w:rsidRPr="00435653">
        <w:rPr>
          <w:rFonts w:ascii="Century" w:hAnsi="Century" w:cs="Miriam" w:hint="cs"/>
          <w:b/>
          <w:spacing w:val="0"/>
          <w:szCs w:val="24"/>
          <w:rtl/>
        </w:rPr>
        <w:t xml:space="preserve">אי קיומה של היוועצות כדין </w:t>
      </w:r>
    </w:p>
    <w:p w:rsidR="00433434" w:rsidRPr="00435653" w:rsidRDefault="00433434" w:rsidP="00433434">
      <w:pPr>
        <w:pStyle w:val="Ruller4"/>
        <w:tabs>
          <w:tab w:val="clear" w:pos="800"/>
        </w:tabs>
        <w:overflowPunct/>
        <w:autoSpaceDE/>
        <w:autoSpaceDN/>
        <w:adjustRightInd/>
        <w:spacing w:before="240" w:after="240"/>
        <w:textAlignment w:val="auto"/>
        <w:rPr>
          <w:rFonts w:ascii="Century" w:hAnsi="Century"/>
          <w:sz w:val="22"/>
          <w:rtl/>
        </w:rPr>
      </w:pPr>
      <w:r w:rsidRPr="00435653">
        <w:rPr>
          <w:rFonts w:ascii="Century" w:hAnsi="Century" w:hint="cs"/>
          <w:rtl/>
        </w:rPr>
        <w:t xml:space="preserve">כפי שעמדו על כך חבריי בחוות דעתם בהרחבה, וכפי שאדרש להלן, הדחתו של העותר נעשתה ללא היוועצות מקדימה עם הרשות, וחרף התנגדותה למהלך </w:t>
      </w:r>
      <w:r w:rsidRPr="00435653">
        <w:rPr>
          <w:rFonts w:ascii="Century" w:hAnsi="Century"/>
          <w:rtl/>
        </w:rPr>
        <w:t>–</w:t>
      </w:r>
      <w:r w:rsidRPr="00435653">
        <w:rPr>
          <w:rFonts w:ascii="Century" w:hAnsi="Century" w:hint="cs"/>
          <w:rtl/>
        </w:rPr>
        <w:t xml:space="preserve"> לכל אורך הדרך. התעלמות זו מעמדת הרשות, ערערה, בין היתר, את התשתית העובדתית שעמדה ביסוד ההחלטה בדבר העברת העותר מתפקידו, וכפי שפורט בהרחבה גם בחוות דעתו של חברי, השופט </w:t>
      </w:r>
      <w:r w:rsidRPr="00435653">
        <w:rPr>
          <w:rFonts w:ascii="Century" w:hAnsi="Century" w:cs="Miriam" w:hint="cs"/>
          <w:b/>
          <w:spacing w:val="0"/>
          <w:sz w:val="22"/>
          <w:szCs w:val="24"/>
          <w:rtl/>
        </w:rPr>
        <w:t>מינץ</w:t>
      </w:r>
      <w:r w:rsidRPr="00435653">
        <w:rPr>
          <w:rFonts w:ascii="Century" w:hAnsi="Century" w:hint="cs"/>
          <w:sz w:val="22"/>
          <w:rtl/>
        </w:rPr>
        <w:t xml:space="preserve">. </w:t>
      </w:r>
      <w:r>
        <w:rPr>
          <w:rFonts w:ascii="Century" w:hAnsi="Century" w:hint="cs"/>
          <w:sz w:val="22"/>
          <w:rtl/>
        </w:rPr>
        <w:t>אולם,</w:t>
      </w:r>
      <w:r w:rsidRPr="00435653">
        <w:rPr>
          <w:rFonts w:ascii="Century" w:hAnsi="Century" w:hint="cs"/>
          <w:sz w:val="22"/>
          <w:rtl/>
        </w:rPr>
        <w:t xml:space="preserve"> נוסף על כך, החלטה זו גם מכרסמת במושכלות היסוד עליו מושתת ממשל תאגידי תקין </w:t>
      </w:r>
      <w:r w:rsidRPr="00435653">
        <w:rPr>
          <w:rFonts w:ascii="Century" w:hAnsi="Century"/>
          <w:sz w:val="22"/>
          <w:rtl/>
        </w:rPr>
        <w:t>–</w:t>
      </w:r>
      <w:r w:rsidRPr="00435653">
        <w:rPr>
          <w:rFonts w:ascii="Century" w:hAnsi="Century" w:hint="cs"/>
          <w:sz w:val="22"/>
          <w:rtl/>
        </w:rPr>
        <w:t xml:space="preserve"> הן מכוח דיני החברות לבדם, </w:t>
      </w:r>
      <w:r>
        <w:rPr>
          <w:rFonts w:ascii="Century" w:hAnsi="Century" w:hint="cs"/>
          <w:sz w:val="22"/>
          <w:rtl/>
        </w:rPr>
        <w:t>ומקל וחומר</w:t>
      </w:r>
      <w:r w:rsidRPr="00435653">
        <w:rPr>
          <w:rFonts w:ascii="Century" w:hAnsi="Century" w:hint="cs"/>
          <w:sz w:val="22"/>
          <w:rtl/>
        </w:rPr>
        <w:t>, בראי תכליותיו והוראותיו של חוק החברות הממשלתיות.</w:t>
      </w:r>
    </w:p>
    <w:p w:rsidR="00433434" w:rsidRPr="00435653" w:rsidRDefault="00433434" w:rsidP="00433434">
      <w:pPr>
        <w:pStyle w:val="Ruller4"/>
        <w:spacing w:before="240" w:after="240"/>
        <w:rPr>
          <w:rFonts w:ascii="David" w:hAnsi="David"/>
          <w:color w:val="000000"/>
          <w:rtl/>
        </w:rPr>
      </w:pPr>
      <w:r w:rsidRPr="00435653">
        <w:rPr>
          <w:rFonts w:ascii="David" w:hAnsi="David" w:hint="cs"/>
          <w:color w:val="000000"/>
          <w:rtl/>
        </w:rPr>
        <w:t xml:space="preserve">כפי שעמדתי על כך לעיל, רשות החברות הממשלתיות היא הרגולטור האמון על החברות הממשלתיות. </w:t>
      </w:r>
      <w:proofErr w:type="spellStart"/>
      <w:r w:rsidRPr="00435653">
        <w:rPr>
          <w:rFonts w:ascii="David" w:hAnsi="David" w:hint="cs"/>
          <w:color w:val="000000"/>
          <w:rtl/>
        </w:rPr>
        <w:t>ככזו</w:t>
      </w:r>
      <w:proofErr w:type="spellEnd"/>
      <w:r w:rsidRPr="00435653">
        <w:rPr>
          <w:rFonts w:ascii="David" w:hAnsi="David" w:hint="cs"/>
          <w:color w:val="000000"/>
          <w:rtl/>
        </w:rPr>
        <w:t xml:space="preserve">, </w:t>
      </w:r>
      <w:r>
        <w:rPr>
          <w:rFonts w:ascii="David" w:hAnsi="David" w:hint="cs"/>
          <w:color w:val="000000"/>
          <w:rtl/>
        </w:rPr>
        <w:t>הנחת המוצא היא</w:t>
      </w:r>
      <w:r w:rsidRPr="00435653">
        <w:rPr>
          <w:rFonts w:ascii="David" w:hAnsi="David" w:hint="cs"/>
          <w:color w:val="000000"/>
          <w:rtl/>
        </w:rPr>
        <w:t xml:space="preserve"> כי </w:t>
      </w:r>
      <w:r>
        <w:rPr>
          <w:rFonts w:ascii="David" w:hAnsi="David" w:hint="cs"/>
          <w:color w:val="000000"/>
          <w:rtl/>
        </w:rPr>
        <w:t xml:space="preserve">אין </w:t>
      </w:r>
      <w:r w:rsidRPr="00435653">
        <w:rPr>
          <w:rFonts w:ascii="David" w:hAnsi="David" w:hint="eastAsia"/>
          <w:color w:val="000000"/>
          <w:rtl/>
        </w:rPr>
        <w:t>לחשוד</w:t>
      </w:r>
      <w:r w:rsidRPr="00435653">
        <w:rPr>
          <w:rFonts w:ascii="David" w:hAnsi="David"/>
          <w:color w:val="000000"/>
          <w:rtl/>
        </w:rPr>
        <w:t xml:space="preserve"> </w:t>
      </w:r>
      <w:r w:rsidRPr="00435653">
        <w:rPr>
          <w:rFonts w:ascii="David" w:hAnsi="David" w:hint="eastAsia"/>
          <w:color w:val="000000"/>
          <w:rtl/>
        </w:rPr>
        <w:t>ב</w:t>
      </w:r>
      <w:r w:rsidRPr="00435653">
        <w:rPr>
          <w:rFonts w:ascii="David" w:hAnsi="David" w:hint="cs"/>
          <w:color w:val="000000"/>
          <w:rtl/>
        </w:rPr>
        <w:t>ה</w:t>
      </w:r>
      <w:r w:rsidRPr="00435653">
        <w:rPr>
          <w:rFonts w:ascii="David" w:hAnsi="David"/>
          <w:color w:val="000000"/>
          <w:rtl/>
        </w:rPr>
        <w:t xml:space="preserve"> כמי שנגועה באי אלו שיקולים שלא מן העניין</w:t>
      </w:r>
      <w:r w:rsidRPr="00435653">
        <w:rPr>
          <w:rFonts w:ascii="David" w:hAnsi="David" w:hint="cs"/>
          <w:color w:val="000000"/>
          <w:rtl/>
        </w:rPr>
        <w:t xml:space="preserve">, </w:t>
      </w:r>
      <w:r>
        <w:rPr>
          <w:rFonts w:ascii="David" w:hAnsi="David" w:hint="cs"/>
          <w:color w:val="000000"/>
          <w:rtl/>
        </w:rPr>
        <w:t>שכן</w:t>
      </w:r>
      <w:r w:rsidRPr="00435653">
        <w:rPr>
          <w:rFonts w:ascii="David" w:hAnsi="David" w:hint="cs"/>
          <w:color w:val="000000"/>
          <w:rtl/>
        </w:rPr>
        <w:t xml:space="preserve"> </w:t>
      </w:r>
      <w:r>
        <w:rPr>
          <w:rFonts w:ascii="David" w:hAnsi="David" w:hint="cs"/>
          <w:color w:val="000000"/>
          <w:rtl/>
        </w:rPr>
        <w:t xml:space="preserve">עצם </w:t>
      </w:r>
      <w:r w:rsidRPr="00435653">
        <w:rPr>
          <w:rFonts w:ascii="David" w:hAnsi="David" w:hint="cs"/>
          <w:color w:val="000000"/>
          <w:rtl/>
        </w:rPr>
        <w:t xml:space="preserve">מעמדה זה של הרשות </w:t>
      </w:r>
      <w:r w:rsidRPr="00435653">
        <w:rPr>
          <w:rFonts w:ascii="David" w:hAnsi="David"/>
          <w:color w:val="000000"/>
          <w:rtl/>
        </w:rPr>
        <w:t>–</w:t>
      </w:r>
      <w:r w:rsidRPr="00435653">
        <w:rPr>
          <w:rFonts w:ascii="David" w:hAnsi="David" w:hint="cs"/>
          <w:color w:val="000000"/>
          <w:rtl/>
        </w:rPr>
        <w:t xml:space="preserve"> </w:t>
      </w:r>
      <w:r w:rsidRPr="00435653">
        <w:rPr>
          <w:rFonts w:ascii="David" w:hAnsi="David" w:hint="eastAsia"/>
          <w:color w:val="000000"/>
          <w:rtl/>
        </w:rPr>
        <w:t>מקנה</w:t>
      </w:r>
      <w:r w:rsidRPr="00435653">
        <w:rPr>
          <w:rFonts w:ascii="David" w:hAnsi="David"/>
          <w:color w:val="000000"/>
          <w:rtl/>
        </w:rPr>
        <w:t xml:space="preserve"> </w:t>
      </w:r>
      <w:r w:rsidRPr="00435653">
        <w:rPr>
          <w:rFonts w:ascii="David" w:hAnsi="David" w:hint="eastAsia"/>
          <w:color w:val="000000"/>
          <w:rtl/>
        </w:rPr>
        <w:t>לה</w:t>
      </w:r>
      <w:r w:rsidRPr="00435653">
        <w:rPr>
          <w:rFonts w:ascii="David" w:hAnsi="David" w:hint="cs"/>
          <w:color w:val="000000"/>
          <w:rtl/>
        </w:rPr>
        <w:t>, כאמור,</w:t>
      </w:r>
      <w:r w:rsidRPr="00435653">
        <w:rPr>
          <w:rFonts w:ascii="David" w:hAnsi="David"/>
          <w:color w:val="000000"/>
          <w:rtl/>
        </w:rPr>
        <w:t xml:space="preserve"> </w:t>
      </w:r>
      <w:r w:rsidRPr="00435653">
        <w:rPr>
          <w:rFonts w:ascii="Century" w:hAnsi="Century" w:cs="Miriam" w:hint="eastAsia"/>
          <w:b/>
          <w:spacing w:val="0"/>
          <w:sz w:val="22"/>
          <w:szCs w:val="24"/>
          <w:rtl/>
        </w:rPr>
        <w:t>חזקת</w:t>
      </w:r>
      <w:r w:rsidRPr="00435653">
        <w:rPr>
          <w:rFonts w:ascii="Century" w:hAnsi="Century" w:cs="Miriam"/>
          <w:b/>
          <w:spacing w:val="0"/>
          <w:sz w:val="22"/>
          <w:szCs w:val="24"/>
          <w:rtl/>
        </w:rPr>
        <w:t xml:space="preserve"> </w:t>
      </w:r>
      <w:r w:rsidRPr="00435653">
        <w:rPr>
          <w:rFonts w:ascii="Century" w:hAnsi="Century" w:cs="Miriam" w:hint="eastAsia"/>
          <w:b/>
          <w:spacing w:val="0"/>
          <w:sz w:val="22"/>
          <w:szCs w:val="24"/>
          <w:rtl/>
        </w:rPr>
        <w:t>אובייקטיביות</w:t>
      </w:r>
      <w:r w:rsidRPr="00435653">
        <w:rPr>
          <w:rFonts w:ascii="David" w:hAnsi="David"/>
          <w:color w:val="000000"/>
          <w:rtl/>
        </w:rPr>
        <w:t>. ודוק, אחד מתפקידיה העיקריים של הרשות הוא לומר את דברה בשמם של אותם בעלי מניות שהיא אמונה</w:t>
      </w:r>
      <w:r w:rsidRPr="00435653">
        <w:rPr>
          <w:rFonts w:ascii="David" w:hAnsi="David"/>
          <w:b/>
          <w:bCs/>
          <w:color w:val="000000"/>
          <w:rtl/>
        </w:rPr>
        <w:t xml:space="preserve"> </w:t>
      </w:r>
      <w:r w:rsidRPr="00435653">
        <w:rPr>
          <w:rFonts w:ascii="David" w:hAnsi="David"/>
          <w:color w:val="000000"/>
          <w:rtl/>
        </w:rPr>
        <w:t>על האינטרסים שלהם</w:t>
      </w:r>
      <w:r w:rsidRPr="00435653">
        <w:rPr>
          <w:rFonts w:ascii="David" w:hAnsi="David" w:hint="cs"/>
          <w:color w:val="000000"/>
          <w:rtl/>
        </w:rPr>
        <w:t>, כמו גם בשם האינטרס הציבורי</w:t>
      </w:r>
      <w:r w:rsidRPr="00435653">
        <w:rPr>
          <w:rFonts w:ascii="David" w:hAnsi="David"/>
          <w:color w:val="000000"/>
          <w:rtl/>
        </w:rPr>
        <w:t xml:space="preserve">; ואין בעמדתה, משום רצון או יומרה להכתיב את מהלכיה העסקיים של החברה – וכך גם היה בעניינו של העותר כאן. במובן זה, לא השתכנעתי כי היה טעם ענייני כלשהו בגינו מצאו המשיבים לנכון להתעלם, באופן גורף, מעמדתה של הרשות. </w:t>
      </w:r>
    </w:p>
    <w:p w:rsidR="00433434" w:rsidRPr="00435653" w:rsidRDefault="00433434" w:rsidP="00433434">
      <w:pPr>
        <w:pStyle w:val="Ruller4"/>
        <w:spacing w:before="240" w:after="240"/>
        <w:rPr>
          <w:rFonts w:ascii="Century" w:hAnsi="Century"/>
          <w:rtl/>
        </w:rPr>
      </w:pPr>
      <w:r w:rsidRPr="00435653">
        <w:rPr>
          <w:rFonts w:hint="cs"/>
          <w:rtl/>
        </w:rPr>
        <w:lastRenderedPageBreak/>
        <w:t xml:space="preserve">האופן בו נהגו המשיבים עם עמדת הרשות, אם כן, איננו נכון ואיננו רצוי, והוא מעורר לטעמי תמיהה </w:t>
      </w:r>
      <w:r>
        <w:rPr>
          <w:rFonts w:hint="cs"/>
          <w:rtl/>
        </w:rPr>
        <w:t>רבה</w:t>
      </w:r>
      <w:r w:rsidRPr="00435653">
        <w:rPr>
          <w:rFonts w:hint="cs"/>
          <w:rtl/>
        </w:rPr>
        <w:t xml:space="preserve">, זאת אף ביתר שאת בשים לב למכתבה של מנהלת הרשות, אשר הוזכר גם על ידי חברי, השופט </w:t>
      </w:r>
      <w:r w:rsidRPr="00435653">
        <w:rPr>
          <w:rFonts w:ascii="Century" w:hAnsi="Century" w:cs="Miriam" w:hint="cs"/>
          <w:b/>
          <w:spacing w:val="0"/>
          <w:sz w:val="22"/>
          <w:szCs w:val="24"/>
          <w:rtl/>
        </w:rPr>
        <w:t>מינץ</w:t>
      </w:r>
      <w:r w:rsidRPr="00435653">
        <w:rPr>
          <w:rFonts w:ascii="Century" w:hAnsi="Century" w:hint="cs"/>
          <w:sz w:val="22"/>
          <w:rtl/>
        </w:rPr>
        <w:t xml:space="preserve"> (בפסקה 45 לחוות דעתו)</w:t>
      </w:r>
      <w:r w:rsidRPr="00435653">
        <w:rPr>
          <w:rFonts w:hint="cs"/>
          <w:rtl/>
        </w:rPr>
        <w:t xml:space="preserve">; שכן, גישה שכזו ביחס למעמד הרשות עלולה לפגוע באינטרס הציבורי, ולכרסם באופן משמעותי בהיבט חשוב וחיוני מתפקידיה של הרשות </w:t>
      </w:r>
      <w:r w:rsidRPr="00435653">
        <w:rPr>
          <w:rtl/>
        </w:rPr>
        <w:t>–</w:t>
      </w:r>
      <w:r w:rsidRPr="00435653">
        <w:rPr>
          <w:rFonts w:hint="cs"/>
          <w:rtl/>
        </w:rPr>
        <w:t xml:space="preserve"> כגוף מפקח, </w:t>
      </w:r>
      <w:r>
        <w:rPr>
          <w:rFonts w:hint="cs"/>
          <w:rtl/>
        </w:rPr>
        <w:t>ש</w:t>
      </w:r>
      <w:r w:rsidRPr="00435653">
        <w:rPr>
          <w:rFonts w:hint="cs"/>
          <w:rtl/>
        </w:rPr>
        <w:t xml:space="preserve">המלצותיו מבוססות על מומחיות, ידע וניסיון (עניין </w:t>
      </w:r>
      <w:r w:rsidRPr="00435653">
        <w:rPr>
          <w:rFonts w:ascii="Century" w:hAnsi="Century" w:cs="Miriam" w:hint="cs"/>
          <w:b/>
          <w:spacing w:val="0"/>
          <w:sz w:val="22"/>
          <w:szCs w:val="24"/>
          <w:rtl/>
        </w:rPr>
        <w:t>נבון</w:t>
      </w:r>
      <w:r w:rsidRPr="00435653">
        <w:rPr>
          <w:rFonts w:ascii="Century" w:hAnsi="Century" w:hint="cs"/>
          <w:sz w:val="22"/>
          <w:rtl/>
        </w:rPr>
        <w:t>, בפסקה 46).</w:t>
      </w:r>
      <w:r w:rsidRPr="00435653">
        <w:rPr>
          <w:rFonts w:ascii="Century" w:hAnsi="Century" w:hint="cs"/>
          <w:rtl/>
        </w:rPr>
        <w:t xml:space="preserve"> </w:t>
      </w:r>
    </w:p>
    <w:p w:rsidR="00433434" w:rsidRPr="00435653" w:rsidRDefault="00433434" w:rsidP="00433434">
      <w:pPr>
        <w:pStyle w:val="Ruller41"/>
        <w:numPr>
          <w:ilvl w:val="0"/>
          <w:numId w:val="11"/>
        </w:numPr>
        <w:spacing w:before="240" w:after="240"/>
        <w:rPr>
          <w:rFonts w:ascii="Century" w:hAnsi="Century"/>
          <w:rtl/>
        </w:rPr>
      </w:pPr>
      <w:r w:rsidRPr="00435653">
        <w:rPr>
          <w:rFonts w:ascii="Century" w:hAnsi="Century" w:hint="cs"/>
          <w:rtl/>
        </w:rPr>
        <w:t xml:space="preserve">בעניינו, כאמור, העברת יושב ראש הדירקטוריון מתפקידו נעשתה מבלי </w:t>
      </w:r>
      <w:r>
        <w:rPr>
          <w:rFonts w:ascii="Century" w:hAnsi="Century" w:hint="cs"/>
          <w:rtl/>
        </w:rPr>
        <w:t>שקוימה</w:t>
      </w:r>
      <w:r w:rsidRPr="00435653">
        <w:rPr>
          <w:rFonts w:ascii="Century" w:hAnsi="Century" w:hint="cs"/>
          <w:rtl/>
        </w:rPr>
        <w:t xml:space="preserve"> חובת ההיוועצות הסטטוטורית עם הרשות </w:t>
      </w:r>
      <w:r w:rsidRPr="00435653">
        <w:rPr>
          <w:rFonts w:ascii="Century" w:hAnsi="Century"/>
          <w:rtl/>
        </w:rPr>
        <w:t>–</w:t>
      </w:r>
      <w:r w:rsidRPr="00435653">
        <w:rPr>
          <w:rFonts w:ascii="Century" w:hAnsi="Century" w:hint="cs"/>
          <w:rtl/>
        </w:rPr>
        <w:t xml:space="preserve"> בלב פתוח ובנפש חפצה, תוך מתן משקל משמעותי לעמדה זו. כך, משיושב ראש הדירקטוריון לא נענה בחיוב לבקשת השר כי יסיים את תפקידו כיושב ראש דירקטוריון החברה, פנו השרים למסלול ההעברה מכהונה, וזאת באמצעות שליחת מכתב לרשות ביום 02.06.2023 (להלן: </w:t>
      </w:r>
      <w:r w:rsidRPr="00435653">
        <w:rPr>
          <w:rFonts w:ascii="Century" w:hAnsi="Century" w:cs="Miriam" w:hint="cs"/>
          <w:b/>
          <w:spacing w:val="0"/>
          <w:szCs w:val="24"/>
          <w:rtl/>
        </w:rPr>
        <w:t>מכתב ההיוועצות</w:t>
      </w:r>
      <w:r w:rsidRPr="00435653">
        <w:rPr>
          <w:rFonts w:ascii="Century" w:hAnsi="Century" w:hint="cs"/>
          <w:rtl/>
        </w:rPr>
        <w:t xml:space="preserve">), בהתאם לדרישת סעיף 22(א)(6) לחוק החברות הממשלתיות. הרשות מצידה, התנגדה נחרצות למהלך העברת יושב הראש מתפקידו; אך מכתבה בעניין זה לא קיבל מענה או התייחסות נוספת בעניין. חלף כך, המשיכו השרים בהליכי ההדחה, ופנו ביום 18.06.2023 במכתב ליושב הראש בדבר הכוונה להעבירו מתפקידו, תוך הזמנתו להשמיע את טענותיו בעניין. לאחר תכתובות נוספות ביניהם בעניין, ביום 17.07.2023 הועלתה על-ידי השרים על הכתב החלטתם הסופית להעביר את יושב ראש הדירקטוריון מתפקידו.  </w:t>
      </w:r>
    </w:p>
    <w:p w:rsidR="00433434" w:rsidRPr="00435653" w:rsidRDefault="00433434" w:rsidP="00433434">
      <w:pPr>
        <w:pStyle w:val="Ruller41"/>
        <w:numPr>
          <w:ilvl w:val="0"/>
          <w:numId w:val="11"/>
        </w:numPr>
        <w:spacing w:before="240" w:after="240"/>
        <w:rPr>
          <w:rFonts w:ascii="Century" w:hAnsi="Century"/>
          <w:rtl/>
        </w:rPr>
      </w:pPr>
      <w:r w:rsidRPr="00435653">
        <w:rPr>
          <w:rFonts w:ascii="Century" w:hAnsi="Century" w:hint="cs"/>
          <w:rtl/>
        </w:rPr>
        <w:t xml:space="preserve">בתוך כך, התעלמו השרים התעלמות </w:t>
      </w:r>
      <w:r>
        <w:rPr>
          <w:rFonts w:ascii="Century" w:hAnsi="Century" w:hint="cs"/>
          <w:rtl/>
        </w:rPr>
        <w:t>מוחלטת</w:t>
      </w:r>
      <w:r w:rsidRPr="00435653">
        <w:rPr>
          <w:rFonts w:ascii="Century" w:hAnsi="Century" w:hint="cs"/>
          <w:rtl/>
        </w:rPr>
        <w:t xml:space="preserve"> מעמדת הרשות, כמו גם מהנתונים שהוצגו על-ידה, </w:t>
      </w:r>
      <w:r>
        <w:rPr>
          <w:rFonts w:ascii="Century" w:hAnsi="Century" w:hint="cs"/>
          <w:rtl/>
        </w:rPr>
        <w:t>ואשר</w:t>
      </w:r>
      <w:r w:rsidRPr="00435653">
        <w:rPr>
          <w:rFonts w:ascii="Century" w:hAnsi="Century" w:hint="cs"/>
          <w:rtl/>
        </w:rPr>
        <w:t xml:space="preserve"> עומדים בניגוד לטענות העובדתיות עליהן מושתתת החלטת ההדחה. כך למשל, הם פני הדברים בהתייחס למספר תלונות הציבור, אליו התייחסו השרים ככזה המלמד, כשלעצמו, על איכות השירות לציבור; שהלוא, נתוני הרשות מלמדים דווקא על ירידה בהיקף התלונות ובתלונות שנמצאו מוצדקות ביחס לתקופה הקודמת לכהונת יושב ראש הדירקטוריון; כך הוא </w:t>
      </w:r>
      <w:r>
        <w:rPr>
          <w:rFonts w:ascii="Century" w:hAnsi="Century" w:hint="cs"/>
          <w:rtl/>
        </w:rPr>
        <w:t>בנוגע</w:t>
      </w:r>
      <w:r w:rsidRPr="00435653">
        <w:rPr>
          <w:rFonts w:ascii="Century" w:hAnsi="Century" w:hint="cs"/>
          <w:rtl/>
        </w:rPr>
        <w:t xml:space="preserve"> </w:t>
      </w:r>
      <w:r>
        <w:rPr>
          <w:rFonts w:ascii="Century" w:hAnsi="Century" w:hint="cs"/>
          <w:rtl/>
        </w:rPr>
        <w:t>ל</w:t>
      </w:r>
      <w:r w:rsidRPr="00435653">
        <w:rPr>
          <w:rFonts w:ascii="Century" w:hAnsi="Century" w:hint="cs"/>
          <w:rtl/>
        </w:rPr>
        <w:t>טענה בדבר אובדן הכנסות; וכך הוא ביחס לטענת אי עמידת החברה בזמני המתנה על פי הרישיון.</w:t>
      </w:r>
    </w:p>
    <w:p w:rsidR="00433434" w:rsidRPr="00435653" w:rsidRDefault="00433434" w:rsidP="00433434">
      <w:pPr>
        <w:pStyle w:val="Ruller41"/>
        <w:numPr>
          <w:ilvl w:val="0"/>
          <w:numId w:val="11"/>
        </w:numPr>
      </w:pPr>
      <w:r w:rsidRPr="00435653">
        <w:rPr>
          <w:rFonts w:ascii="Century" w:hAnsi="Century" w:hint="cs"/>
          <w:rtl/>
        </w:rPr>
        <w:t xml:space="preserve">מכל אלה, הרי שלא ניתן להימנע מן המסקנה לפיה חובת ההיוועצות הסטטוטורית עם הרשות </w:t>
      </w:r>
      <w:r w:rsidRPr="00435653">
        <w:rPr>
          <w:rFonts w:ascii="Century" w:hAnsi="Century"/>
          <w:rtl/>
        </w:rPr>
        <w:t>–</w:t>
      </w:r>
      <w:r w:rsidRPr="00435653">
        <w:rPr>
          <w:rFonts w:ascii="Century" w:hAnsi="Century" w:hint="cs"/>
          <w:rtl/>
        </w:rPr>
        <w:t xml:space="preserve"> נעשתה מן השפה אל החוץ. ההתעלמות מהנתונים שהציגה הרשות מקבלת משנה תוקף, שעה שחברת הדואר מצויה בהליך הפרטה שביחס אליו, כאמור, נתון לרשות מעמד מיוחד מכוח החוק (ראו: סעיף 22(א)(7) לחוק, המייחד לרשות את הסמכות להעביר דירקטור בחברה ממשלתית מתפקידו אם "</w:t>
      </w:r>
      <w:r w:rsidRPr="00435653">
        <w:rPr>
          <w:rFonts w:ascii="Century" w:hAnsi="Century" w:cs="Miriam" w:hint="eastAsia"/>
          <w:b/>
          <w:spacing w:val="0"/>
          <w:szCs w:val="24"/>
          <w:rtl/>
        </w:rPr>
        <w:t>הוא</w:t>
      </w:r>
      <w:r w:rsidRPr="00435653">
        <w:rPr>
          <w:rFonts w:ascii="Century" w:hAnsi="Century" w:cs="Miriam"/>
          <w:b/>
          <w:spacing w:val="0"/>
          <w:szCs w:val="24"/>
          <w:rtl/>
        </w:rPr>
        <w:t xml:space="preserve"> </w:t>
      </w:r>
      <w:r w:rsidRPr="00435653">
        <w:rPr>
          <w:rFonts w:ascii="Century" w:hAnsi="Century" w:cs="Miriam" w:hint="eastAsia"/>
          <w:b/>
          <w:spacing w:val="0"/>
          <w:szCs w:val="24"/>
          <w:rtl/>
        </w:rPr>
        <w:t>אינו</w:t>
      </w:r>
      <w:r w:rsidRPr="00435653">
        <w:rPr>
          <w:rFonts w:ascii="Century" w:hAnsi="Century" w:cs="Miriam"/>
          <w:b/>
          <w:spacing w:val="0"/>
          <w:szCs w:val="24"/>
          <w:rtl/>
        </w:rPr>
        <w:t xml:space="preserve"> </w:t>
      </w:r>
      <w:r w:rsidRPr="00435653">
        <w:rPr>
          <w:rFonts w:ascii="Century" w:hAnsi="Century" w:cs="Miriam" w:hint="eastAsia"/>
          <w:b/>
          <w:spacing w:val="0"/>
          <w:szCs w:val="24"/>
          <w:rtl/>
        </w:rPr>
        <w:t>ממלא</w:t>
      </w:r>
      <w:r w:rsidRPr="00435653">
        <w:rPr>
          <w:rFonts w:ascii="Century" w:hAnsi="Century" w:cs="Miriam"/>
          <w:b/>
          <w:spacing w:val="0"/>
          <w:szCs w:val="24"/>
          <w:rtl/>
        </w:rPr>
        <w:t xml:space="preserve"> </w:t>
      </w:r>
      <w:r w:rsidRPr="00435653">
        <w:rPr>
          <w:rFonts w:ascii="Century" w:hAnsi="Century" w:cs="Miriam" w:hint="eastAsia"/>
          <w:b/>
          <w:spacing w:val="0"/>
          <w:szCs w:val="24"/>
          <w:rtl/>
        </w:rPr>
        <w:t>את</w:t>
      </w:r>
      <w:r w:rsidRPr="00435653">
        <w:rPr>
          <w:rFonts w:ascii="Century" w:hAnsi="Century" w:cs="Miriam"/>
          <w:b/>
          <w:spacing w:val="0"/>
          <w:szCs w:val="24"/>
          <w:rtl/>
        </w:rPr>
        <w:t xml:space="preserve"> </w:t>
      </w:r>
      <w:r w:rsidRPr="00435653">
        <w:rPr>
          <w:rFonts w:ascii="Century" w:hAnsi="Century" w:cs="Miriam" w:hint="eastAsia"/>
          <w:b/>
          <w:spacing w:val="0"/>
          <w:szCs w:val="24"/>
          <w:rtl/>
        </w:rPr>
        <w:t>תפקידו</w:t>
      </w:r>
      <w:r w:rsidRPr="00435653">
        <w:rPr>
          <w:rFonts w:ascii="Century" w:hAnsi="Century" w:cs="Miriam"/>
          <w:b/>
          <w:spacing w:val="0"/>
          <w:szCs w:val="24"/>
          <w:rtl/>
        </w:rPr>
        <w:t xml:space="preserve"> </w:t>
      </w:r>
      <w:r w:rsidRPr="00435653">
        <w:rPr>
          <w:rFonts w:ascii="Century" w:hAnsi="Century" w:cs="Miriam" w:hint="eastAsia"/>
          <w:b/>
          <w:spacing w:val="0"/>
          <w:szCs w:val="24"/>
          <w:rtl/>
        </w:rPr>
        <w:t>באופן</w:t>
      </w:r>
      <w:r w:rsidRPr="00435653">
        <w:rPr>
          <w:rFonts w:ascii="Century" w:hAnsi="Century" w:cs="Miriam"/>
          <w:b/>
          <w:spacing w:val="0"/>
          <w:szCs w:val="24"/>
          <w:rtl/>
        </w:rPr>
        <w:t xml:space="preserve"> </w:t>
      </w:r>
      <w:r w:rsidRPr="00435653">
        <w:rPr>
          <w:rFonts w:ascii="Century" w:hAnsi="Century" w:cs="Miriam" w:hint="eastAsia"/>
          <w:b/>
          <w:spacing w:val="0"/>
          <w:szCs w:val="24"/>
          <w:rtl/>
        </w:rPr>
        <w:t>המקדם</w:t>
      </w:r>
      <w:r w:rsidRPr="00435653">
        <w:rPr>
          <w:rFonts w:ascii="Century" w:hAnsi="Century" w:cs="Miriam"/>
          <w:b/>
          <w:spacing w:val="0"/>
          <w:szCs w:val="24"/>
          <w:rtl/>
        </w:rPr>
        <w:t xml:space="preserve"> </w:t>
      </w:r>
      <w:r w:rsidRPr="00435653">
        <w:rPr>
          <w:rFonts w:ascii="Century" w:hAnsi="Century" w:cs="Miriam" w:hint="eastAsia"/>
          <w:b/>
          <w:spacing w:val="0"/>
          <w:szCs w:val="24"/>
          <w:rtl/>
        </w:rPr>
        <w:t>את</w:t>
      </w:r>
      <w:r w:rsidRPr="00435653">
        <w:rPr>
          <w:rFonts w:ascii="Century" w:hAnsi="Century" w:cs="Miriam"/>
          <w:b/>
          <w:spacing w:val="0"/>
          <w:szCs w:val="24"/>
          <w:rtl/>
        </w:rPr>
        <w:t xml:space="preserve"> </w:t>
      </w:r>
      <w:r w:rsidRPr="00435653">
        <w:rPr>
          <w:rFonts w:ascii="Century" w:hAnsi="Century" w:cs="Miriam" w:hint="eastAsia"/>
          <w:b/>
          <w:spacing w:val="0"/>
          <w:szCs w:val="24"/>
          <w:rtl/>
        </w:rPr>
        <w:t>ביצועה</w:t>
      </w:r>
      <w:r w:rsidRPr="00435653">
        <w:rPr>
          <w:rFonts w:ascii="Century" w:hAnsi="Century" w:cs="Miriam"/>
          <w:b/>
          <w:spacing w:val="0"/>
          <w:szCs w:val="24"/>
          <w:rtl/>
        </w:rPr>
        <w:t xml:space="preserve"> </w:t>
      </w:r>
      <w:r w:rsidRPr="00435653">
        <w:rPr>
          <w:rFonts w:ascii="Century" w:hAnsi="Century" w:cs="Miriam" w:hint="eastAsia"/>
          <w:b/>
          <w:spacing w:val="0"/>
          <w:szCs w:val="24"/>
          <w:rtl/>
        </w:rPr>
        <w:t>של</w:t>
      </w:r>
      <w:r w:rsidRPr="00435653">
        <w:rPr>
          <w:rFonts w:ascii="Century" w:hAnsi="Century" w:cs="Miriam"/>
          <w:b/>
          <w:spacing w:val="0"/>
          <w:szCs w:val="24"/>
          <w:rtl/>
        </w:rPr>
        <w:t xml:space="preserve"> </w:t>
      </w:r>
      <w:r w:rsidRPr="00435653">
        <w:rPr>
          <w:rFonts w:ascii="Century" w:hAnsi="Century" w:cs="Miriam" w:hint="eastAsia"/>
          <w:b/>
          <w:spacing w:val="0"/>
          <w:szCs w:val="24"/>
          <w:rtl/>
        </w:rPr>
        <w:t>החלטת</w:t>
      </w:r>
      <w:r w:rsidRPr="00435653">
        <w:rPr>
          <w:rFonts w:ascii="Century" w:hAnsi="Century" w:cs="Miriam"/>
          <w:b/>
          <w:spacing w:val="0"/>
          <w:szCs w:val="24"/>
          <w:rtl/>
        </w:rPr>
        <w:t xml:space="preserve"> </w:t>
      </w:r>
      <w:r w:rsidRPr="00435653">
        <w:rPr>
          <w:rFonts w:ascii="Century" w:hAnsi="Century" w:cs="Miriam" w:hint="eastAsia"/>
          <w:b/>
          <w:spacing w:val="0"/>
          <w:szCs w:val="24"/>
          <w:rtl/>
        </w:rPr>
        <w:t>הפרטה</w:t>
      </w:r>
      <w:r w:rsidRPr="00435653">
        <w:rPr>
          <w:rFonts w:ascii="Century" w:hAnsi="Century" w:hint="cs"/>
          <w:rtl/>
        </w:rPr>
        <w:t>"). בנוסף, היא מעוררת קושי מיוחד במישור ביסוס התשתית העובדתית העומדת בבסיס החלטת ההדחה, כפי שיבואר להלן.</w:t>
      </w:r>
    </w:p>
    <w:p w:rsidR="00433434" w:rsidRPr="00435653" w:rsidRDefault="00433434" w:rsidP="00433434">
      <w:pPr>
        <w:pStyle w:val="Ruller41"/>
        <w:spacing w:before="240" w:after="240"/>
        <w:rPr>
          <w:rFonts w:ascii="Century" w:hAnsi="Century" w:cs="Miriam"/>
          <w:b/>
          <w:spacing w:val="0"/>
          <w:szCs w:val="24"/>
          <w:rtl/>
        </w:rPr>
      </w:pPr>
      <w:r w:rsidRPr="00435653">
        <w:rPr>
          <w:rFonts w:ascii="Century" w:hAnsi="Century" w:cs="Miriam" w:hint="cs"/>
          <w:b/>
          <w:spacing w:val="0"/>
          <w:szCs w:val="24"/>
          <w:rtl/>
        </w:rPr>
        <w:lastRenderedPageBreak/>
        <w:t>הפגמים שנפלו בהחלטת השרים בראי דיני החברות</w:t>
      </w:r>
    </w:p>
    <w:p w:rsidR="00433434" w:rsidRPr="00435653" w:rsidRDefault="00433434" w:rsidP="008A79B6">
      <w:pPr>
        <w:pStyle w:val="Ruller4"/>
        <w:numPr>
          <w:ilvl w:val="0"/>
          <w:numId w:val="0"/>
        </w:numPr>
        <w:spacing w:before="240" w:after="240"/>
        <w:rPr>
          <w:rFonts w:ascii="Century" w:hAnsi="Century"/>
          <w:sz w:val="22"/>
        </w:rPr>
      </w:pPr>
      <w:r w:rsidRPr="00435653">
        <w:rPr>
          <w:rFonts w:ascii="Century" w:hAnsi="Century" w:cs="Miriam" w:hint="cs"/>
          <w:b/>
          <w:spacing w:val="0"/>
          <w:sz w:val="22"/>
          <w:szCs w:val="24"/>
          <w:rtl/>
        </w:rPr>
        <w:t xml:space="preserve">היעדרה של תשתית עובדתית </w:t>
      </w:r>
      <w:r w:rsidRPr="00435653">
        <w:rPr>
          <w:rFonts w:ascii="Century" w:hAnsi="Century" w:hint="cs"/>
          <w:sz w:val="22"/>
          <w:rtl/>
        </w:rPr>
        <w:t xml:space="preserve">  </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כפי שציין השופט </w:t>
      </w:r>
      <w:r w:rsidRPr="00435653">
        <w:rPr>
          <w:rFonts w:ascii="Century" w:hAnsi="Century" w:cs="Miriam" w:hint="cs"/>
          <w:b/>
          <w:spacing w:val="0"/>
          <w:sz w:val="22"/>
          <w:szCs w:val="24"/>
          <w:rtl/>
        </w:rPr>
        <w:t>מינץ</w:t>
      </w:r>
      <w:r w:rsidRPr="00435653">
        <w:rPr>
          <w:rFonts w:ascii="Century" w:hAnsi="Century" w:hint="cs"/>
          <w:sz w:val="22"/>
          <w:rtl/>
        </w:rPr>
        <w:t xml:space="preserve">, החלטת השרים להדיח את העותר לא </w:t>
      </w:r>
      <w:r>
        <w:rPr>
          <w:rFonts w:ascii="Century" w:hAnsi="Century" w:hint="cs"/>
          <w:sz w:val="22"/>
          <w:rtl/>
        </w:rPr>
        <w:t>נסמכה כלל ועיקר</w:t>
      </w:r>
      <w:r w:rsidRPr="00435653">
        <w:rPr>
          <w:rFonts w:ascii="Century" w:hAnsi="Century" w:hint="cs"/>
          <w:sz w:val="22"/>
          <w:rtl/>
        </w:rPr>
        <w:t xml:space="preserve"> על תשתית עובדתית ראויה, לא כל שכן, כזו ההולמת את הפעלת הסמכות הקבועה בסעיף 22(א)(6) לחוק, המהווה התערבות חריגה בפעילות חברת הדואר (בפסקאות 32 ו-38 לחוות דעתו). יתר על כן, כפי שהוסיף על כך השופט </w:t>
      </w:r>
      <w:r w:rsidRPr="00435653">
        <w:rPr>
          <w:rFonts w:ascii="Century" w:hAnsi="Century" w:cs="Miriam" w:hint="cs"/>
          <w:b/>
          <w:spacing w:val="0"/>
          <w:sz w:val="22"/>
          <w:szCs w:val="24"/>
          <w:rtl/>
        </w:rPr>
        <w:t>עמית</w:t>
      </w:r>
      <w:r w:rsidRPr="00435653">
        <w:rPr>
          <w:rFonts w:ascii="Century" w:hAnsi="Century" w:hint="cs"/>
          <w:sz w:val="22"/>
          <w:rtl/>
        </w:rPr>
        <w:t>, אף יתכן "</w:t>
      </w:r>
      <w:r w:rsidRPr="00435653">
        <w:rPr>
          <w:rFonts w:ascii="Century" w:hAnsi="Century" w:cs="Miriam" w:hint="cs"/>
          <w:b/>
          <w:spacing w:val="0"/>
          <w:sz w:val="22"/>
          <w:szCs w:val="24"/>
          <w:rtl/>
        </w:rPr>
        <w:t>שהנתונים האובייקטיביים מלמדים ההיפך</w:t>
      </w:r>
      <w:r w:rsidRPr="00435653">
        <w:rPr>
          <w:rFonts w:ascii="Century" w:hAnsi="Century" w:hint="cs"/>
          <w:sz w:val="22"/>
          <w:rtl/>
        </w:rPr>
        <w:t xml:space="preserve">" (בפסקה 2 לחוות דעתו). לא זו אף זו. ההחלטה נתקבלה בניגוד לעמדת היועצת המשפטית לממשלה, כמו גם לעמדת הרשות, שהיא כאמור הגוף המאסדר של פעילות החברות הממשלתיות, תוך התעלמות מוחלטת מהנתונים שהציגה הרשות בפני השרים (ראו: בפסקה 43 לחוות דעתו של השופט </w:t>
      </w:r>
      <w:r w:rsidRPr="00435653">
        <w:rPr>
          <w:rFonts w:ascii="Century" w:hAnsi="Century" w:cs="Miriam" w:hint="cs"/>
          <w:b/>
          <w:spacing w:val="0"/>
          <w:sz w:val="22"/>
          <w:szCs w:val="24"/>
          <w:rtl/>
        </w:rPr>
        <w:t>מינץ</w:t>
      </w:r>
      <w:r w:rsidRPr="00435653">
        <w:rPr>
          <w:rFonts w:ascii="Century" w:hAnsi="Century" w:hint="cs"/>
          <w:sz w:val="22"/>
          <w:rtl/>
        </w:rPr>
        <w:t xml:space="preserve">; </w:t>
      </w:r>
      <w:r w:rsidRPr="00435653">
        <w:rPr>
          <w:rFonts w:ascii="Century" w:hAnsi="Century" w:hint="eastAsia"/>
          <w:sz w:val="22"/>
          <w:rtl/>
        </w:rPr>
        <w:t>פסקאות</w:t>
      </w:r>
      <w:r w:rsidRPr="00435653">
        <w:rPr>
          <w:rFonts w:ascii="Century" w:hAnsi="Century"/>
          <w:sz w:val="22"/>
          <w:rtl/>
        </w:rPr>
        <w:t xml:space="preserve"> </w:t>
      </w:r>
      <w:r w:rsidRPr="00435653">
        <w:rPr>
          <w:rFonts w:ascii="Century" w:hAnsi="Century" w:hint="cs"/>
          <w:sz w:val="22"/>
          <w:rtl/>
        </w:rPr>
        <w:t>64-59</w:t>
      </w:r>
      <w:r w:rsidRPr="00435653">
        <w:rPr>
          <w:rFonts w:ascii="Century" w:hAnsi="Century"/>
          <w:sz w:val="22"/>
          <w:rtl/>
        </w:rPr>
        <w:t xml:space="preserve"> </w:t>
      </w:r>
      <w:r w:rsidRPr="00435653">
        <w:rPr>
          <w:rFonts w:ascii="Century" w:hAnsi="Century" w:hint="eastAsia"/>
          <w:sz w:val="22"/>
          <w:rtl/>
        </w:rPr>
        <w:t>שלעיל</w:t>
      </w:r>
      <w:r w:rsidRPr="00435653">
        <w:rPr>
          <w:rFonts w:ascii="Century" w:hAnsi="Century" w:hint="cs"/>
          <w:sz w:val="22"/>
          <w:rtl/>
        </w:rPr>
        <w:t>), וללא כל טעם מבורר. כל זאת, כאמור, על אף שמדובר בחברה ממשלתית 'עיקרית', על פי הגדרת הרשות (ראו: פסקה 4 שלעיל), אשר החלטות בעניינה, מטבע הדברים, בעלות השלכות משמעותיות במיוחד</w:t>
      </w:r>
      <w:r>
        <w:rPr>
          <w:rFonts w:ascii="Century" w:hAnsi="Century" w:hint="cs"/>
          <w:sz w:val="22"/>
          <w:rtl/>
        </w:rPr>
        <w:t>. זאת ועוד.</w:t>
      </w:r>
      <w:r w:rsidRPr="00435653">
        <w:rPr>
          <w:rFonts w:ascii="Century" w:hAnsi="Century" w:hint="cs"/>
          <w:sz w:val="22"/>
          <w:rtl/>
        </w:rPr>
        <w:t xml:space="preserve"> כפי שהדגיש השופט </w:t>
      </w:r>
      <w:r w:rsidRPr="00435653">
        <w:rPr>
          <w:rFonts w:ascii="Century" w:hAnsi="Century" w:cs="Miriam" w:hint="cs"/>
          <w:b/>
          <w:spacing w:val="0"/>
          <w:sz w:val="22"/>
          <w:szCs w:val="24"/>
          <w:rtl/>
        </w:rPr>
        <w:t>עמית</w:t>
      </w:r>
      <w:r w:rsidRPr="00435653">
        <w:rPr>
          <w:rFonts w:ascii="Century" w:hAnsi="Century" w:hint="cs"/>
          <w:sz w:val="22"/>
          <w:rtl/>
        </w:rPr>
        <w:t xml:space="preserve">, בדיון שהתקיים לפנינו באי כוח השרים לא השכילו </w:t>
      </w:r>
      <w:proofErr w:type="spellStart"/>
      <w:r w:rsidRPr="00435653">
        <w:rPr>
          <w:rFonts w:ascii="Century" w:hAnsi="Century" w:hint="cs"/>
          <w:sz w:val="22"/>
          <w:rtl/>
        </w:rPr>
        <w:t>ליתן</w:t>
      </w:r>
      <w:proofErr w:type="spellEnd"/>
      <w:r w:rsidRPr="00435653">
        <w:rPr>
          <w:rFonts w:ascii="Century" w:hAnsi="Century" w:hint="cs"/>
          <w:sz w:val="22"/>
          <w:rtl/>
        </w:rPr>
        <w:t xml:space="preserve"> כל הסבר מדוע יש טעם ענייני בהדחת העותר </w:t>
      </w:r>
      <w:r w:rsidRPr="00435653">
        <w:rPr>
          <w:rFonts w:ascii="Century" w:hAnsi="Century" w:cs="Miriam" w:hint="cs"/>
          <w:b/>
          <w:spacing w:val="0"/>
          <w:sz w:val="22"/>
          <w:szCs w:val="24"/>
          <w:rtl/>
        </w:rPr>
        <w:t>כעת</w:t>
      </w:r>
      <w:r w:rsidRPr="00435653">
        <w:rPr>
          <w:rFonts w:ascii="Century" w:hAnsi="Century" w:hint="cs"/>
          <w:sz w:val="22"/>
          <w:rtl/>
        </w:rPr>
        <w:t xml:space="preserve">, כאשר חברת הדואר מצויה במצב כה רגיש, </w:t>
      </w:r>
      <w:r>
        <w:rPr>
          <w:rFonts w:ascii="Century" w:hAnsi="Century" w:hint="cs"/>
          <w:sz w:val="22"/>
          <w:rtl/>
        </w:rPr>
        <w:t>כש</w:t>
      </w:r>
      <w:r w:rsidRPr="00435653">
        <w:rPr>
          <w:rFonts w:ascii="Century" w:hAnsi="Century" w:hint="cs"/>
          <w:sz w:val="22"/>
          <w:rtl/>
        </w:rPr>
        <w:t xml:space="preserve">הליך ההפרטה מתקרב ל'ישורת האחרונה' שלו </w:t>
      </w:r>
      <w:r w:rsidRPr="00435653">
        <w:rPr>
          <w:rFonts w:ascii="Century" w:hAnsi="Century"/>
          <w:sz w:val="22"/>
          <w:rtl/>
        </w:rPr>
        <w:t xml:space="preserve"> (</w:t>
      </w:r>
      <w:r w:rsidRPr="00435653">
        <w:rPr>
          <w:rFonts w:ascii="Century" w:hAnsi="Century" w:hint="eastAsia"/>
          <w:sz w:val="22"/>
          <w:rtl/>
        </w:rPr>
        <w:t>ראו</w:t>
      </w:r>
      <w:r w:rsidRPr="00435653">
        <w:rPr>
          <w:rFonts w:ascii="Century" w:hAnsi="Century"/>
          <w:sz w:val="22"/>
          <w:rtl/>
        </w:rPr>
        <w:t xml:space="preserve">: </w:t>
      </w:r>
      <w:r w:rsidRPr="00435653">
        <w:rPr>
          <w:rFonts w:ascii="Century" w:hAnsi="Century" w:hint="eastAsia"/>
          <w:sz w:val="22"/>
          <w:rtl/>
        </w:rPr>
        <w:t>בפסקה</w:t>
      </w:r>
      <w:r w:rsidRPr="00435653">
        <w:rPr>
          <w:rFonts w:ascii="Century" w:hAnsi="Century"/>
          <w:sz w:val="22"/>
          <w:rtl/>
        </w:rPr>
        <w:t xml:space="preserve"> 2 </w:t>
      </w:r>
      <w:r w:rsidRPr="00435653">
        <w:rPr>
          <w:rFonts w:ascii="Century" w:hAnsi="Century" w:hint="eastAsia"/>
          <w:sz w:val="22"/>
          <w:rtl/>
        </w:rPr>
        <w:t>לחוות</w:t>
      </w:r>
      <w:r w:rsidRPr="00435653">
        <w:rPr>
          <w:rFonts w:ascii="Century" w:hAnsi="Century"/>
          <w:sz w:val="22"/>
          <w:rtl/>
        </w:rPr>
        <w:t xml:space="preserve"> </w:t>
      </w:r>
      <w:r w:rsidRPr="00435653">
        <w:rPr>
          <w:rFonts w:ascii="Century" w:hAnsi="Century" w:hint="eastAsia"/>
          <w:sz w:val="22"/>
          <w:rtl/>
        </w:rPr>
        <w:t>דעתו</w:t>
      </w:r>
      <w:r w:rsidRPr="00435653">
        <w:rPr>
          <w:rFonts w:ascii="Century" w:hAnsi="Century"/>
          <w:sz w:val="22"/>
          <w:rtl/>
        </w:rPr>
        <w:t xml:space="preserve">). </w:t>
      </w:r>
    </w:p>
    <w:p w:rsidR="00433434" w:rsidRPr="00435653" w:rsidRDefault="008A79B6" w:rsidP="008A79B6">
      <w:pPr>
        <w:pStyle w:val="Ruller41"/>
        <w:rPr>
          <w:rtl/>
        </w:rPr>
      </w:pPr>
      <w:r>
        <w:rPr>
          <w:rtl/>
        </w:rPr>
        <w:tab/>
      </w:r>
      <w:r w:rsidR="00433434" w:rsidRPr="00435653">
        <w:rPr>
          <w:rFonts w:hint="cs"/>
          <w:rtl/>
        </w:rPr>
        <w:t xml:space="preserve">אכן, כפי שציינו חבריי, החלטה שאינה מושתתת על תשתית עובדתית ראויה </w:t>
      </w:r>
      <w:r w:rsidR="00433434" w:rsidRPr="00435653">
        <w:rPr>
          <w:rtl/>
        </w:rPr>
        <w:t>–</w:t>
      </w:r>
      <w:r w:rsidR="00433434" w:rsidRPr="00435653">
        <w:rPr>
          <w:rFonts w:hint="cs"/>
          <w:rtl/>
        </w:rPr>
        <w:t xml:space="preserve"> אינה החלטה </w:t>
      </w:r>
      <w:proofErr w:type="spellStart"/>
      <w:r w:rsidR="00433434" w:rsidRPr="00435653">
        <w:rPr>
          <w:rFonts w:cs="Miriam" w:hint="cs"/>
          <w:b/>
          <w:spacing w:val="0"/>
          <w:szCs w:val="24"/>
          <w:rtl/>
        </w:rPr>
        <w:t>מינהלית</w:t>
      </w:r>
      <w:proofErr w:type="spellEnd"/>
      <w:r w:rsidR="00433434" w:rsidRPr="00435653">
        <w:rPr>
          <w:rFonts w:hint="cs"/>
          <w:rtl/>
        </w:rPr>
        <w:t xml:space="preserve"> תקינה (ראו למשל: בג"ץ 164/97 </w:t>
      </w:r>
      <w:proofErr w:type="spellStart"/>
      <w:r w:rsidR="00433434" w:rsidRPr="00435653">
        <w:rPr>
          <w:rFonts w:cs="Miriam" w:hint="cs"/>
          <w:b/>
          <w:spacing w:val="0"/>
          <w:szCs w:val="24"/>
          <w:rtl/>
        </w:rPr>
        <w:t>קונטרם</w:t>
      </w:r>
      <w:proofErr w:type="spellEnd"/>
      <w:r w:rsidR="00433434" w:rsidRPr="00435653">
        <w:rPr>
          <w:rFonts w:cs="Miriam" w:hint="cs"/>
          <w:b/>
          <w:spacing w:val="0"/>
          <w:szCs w:val="24"/>
          <w:rtl/>
        </w:rPr>
        <w:t xml:space="preserve"> בע"מ נ' משרד האוצר, אגף המכס והמע"מ</w:t>
      </w:r>
      <w:r w:rsidR="00433434" w:rsidRPr="00435653">
        <w:rPr>
          <w:rFonts w:hint="cs"/>
          <w:rtl/>
        </w:rPr>
        <w:t xml:space="preserve">, פ"ד נב(1) 289, 352 (1998)). </w:t>
      </w:r>
    </w:p>
    <w:p w:rsidR="00433434" w:rsidRPr="00435653" w:rsidRDefault="00433434" w:rsidP="00433434">
      <w:pPr>
        <w:pStyle w:val="Ruller4"/>
        <w:spacing w:before="240" w:after="240"/>
        <w:rPr>
          <w:rFonts w:ascii="Century" w:hAnsi="Century"/>
          <w:sz w:val="22"/>
        </w:rPr>
      </w:pPr>
      <w:r w:rsidRPr="00435653">
        <w:rPr>
          <w:rFonts w:hint="cs"/>
          <w:rtl/>
        </w:rPr>
        <w:t>על כך אוסיף, כי קבלת החלטה שכזו, ללא כל ביסוס עובדתי,</w:t>
      </w:r>
      <w:r>
        <w:rPr>
          <w:rFonts w:hint="cs"/>
          <w:rtl/>
        </w:rPr>
        <w:t xml:space="preserve"> תוך התעלמות מעובדות רלוונטיות</w:t>
      </w:r>
      <w:r w:rsidRPr="00435653">
        <w:rPr>
          <w:rFonts w:hint="cs"/>
          <w:rtl/>
        </w:rPr>
        <w:t xml:space="preserve">, מעוררת קושי מסוים, גם </w:t>
      </w:r>
      <w:r w:rsidRPr="00435653">
        <w:rPr>
          <w:rFonts w:ascii="Century" w:hAnsi="Century" w:cs="Miriam" w:hint="cs"/>
          <w:b/>
          <w:spacing w:val="0"/>
          <w:sz w:val="22"/>
          <w:szCs w:val="24"/>
          <w:rtl/>
        </w:rPr>
        <w:t>במישור התאגידי</w:t>
      </w:r>
      <w:r w:rsidRPr="00435653">
        <w:rPr>
          <w:rFonts w:hint="cs"/>
          <w:rtl/>
        </w:rPr>
        <w:t>. כאמור, כאשר השרים מפעילים את סמכותם מכוח חוק החברות הממשלתיות, הם מפעילים את שליטתה של הממשלה בחברה הממשלתית</w:t>
      </w:r>
      <w:r>
        <w:rPr>
          <w:rFonts w:hint="cs"/>
          <w:rtl/>
        </w:rPr>
        <w:t xml:space="preserve">; </w:t>
      </w:r>
      <w:r w:rsidRPr="00435653">
        <w:rPr>
          <w:rFonts w:hint="cs"/>
          <w:rtl/>
        </w:rPr>
        <w:t xml:space="preserve">ודומה כי עליהם להיות ערים לכך. </w:t>
      </w:r>
    </w:p>
    <w:p w:rsidR="00433434" w:rsidRPr="00435653" w:rsidRDefault="00433434" w:rsidP="00433434">
      <w:pPr>
        <w:pStyle w:val="Ruller4"/>
        <w:spacing w:before="240" w:after="240"/>
        <w:rPr>
          <w:rFonts w:ascii="Century" w:hAnsi="Century"/>
          <w:sz w:val="22"/>
          <w:rtl/>
        </w:rPr>
      </w:pPr>
      <w:r w:rsidRPr="00435653">
        <w:rPr>
          <w:rFonts w:ascii="Century" w:hAnsi="Century" w:hint="cs"/>
          <w:sz w:val="22"/>
          <w:rtl/>
        </w:rPr>
        <w:t xml:space="preserve">ציינתי לעיל, כי היקפה של חובת ההגינות המוטלת על בעל שליטה, בפרט בהתייחס </w:t>
      </w:r>
      <w:r w:rsidRPr="00435653">
        <w:rPr>
          <w:rFonts w:ascii="Century" w:hAnsi="Century" w:cs="Miriam" w:hint="cs"/>
          <w:b/>
          <w:spacing w:val="0"/>
          <w:sz w:val="22"/>
          <w:szCs w:val="24"/>
          <w:rtl/>
        </w:rPr>
        <w:t>להפעלת שליטה</w:t>
      </w:r>
      <w:r w:rsidRPr="00435653">
        <w:rPr>
          <w:rFonts w:ascii="Century" w:hAnsi="Century" w:hint="cs"/>
          <w:sz w:val="22"/>
          <w:rtl/>
        </w:rPr>
        <w:t xml:space="preserve">, טרם בורר עד תום בפסיקתנו. יחד עם זאת, סבורני כי קבלת ההחלטה באופן המתואר, לבטח בנסיבות בהן מצויה החברה </w:t>
      </w:r>
      <w:r w:rsidRPr="00435653">
        <w:rPr>
          <w:rFonts w:ascii="Century" w:hAnsi="Century"/>
          <w:sz w:val="22"/>
          <w:rtl/>
        </w:rPr>
        <w:t>–</w:t>
      </w:r>
      <w:r w:rsidRPr="00435653">
        <w:rPr>
          <w:rFonts w:ascii="Century" w:hAnsi="Century" w:hint="cs"/>
          <w:sz w:val="22"/>
          <w:rtl/>
        </w:rPr>
        <w:t xml:space="preserve"> </w:t>
      </w:r>
      <w:r>
        <w:rPr>
          <w:rFonts w:ascii="Century" w:hAnsi="Century" w:hint="cs"/>
          <w:sz w:val="22"/>
          <w:rtl/>
        </w:rPr>
        <w:t>בעיצומו של</w:t>
      </w:r>
      <w:r w:rsidRPr="00435653">
        <w:rPr>
          <w:rFonts w:ascii="Century" w:hAnsi="Century" w:hint="cs"/>
          <w:sz w:val="22"/>
          <w:rtl/>
        </w:rPr>
        <w:t xml:space="preserve"> תהליך </w:t>
      </w:r>
      <w:r w:rsidRPr="00435653">
        <w:rPr>
          <w:rFonts w:ascii="Century" w:hAnsi="Century" w:cs="Miriam" w:hint="cs"/>
          <w:b/>
          <w:spacing w:val="0"/>
          <w:sz w:val="22"/>
          <w:szCs w:val="24"/>
          <w:rtl/>
        </w:rPr>
        <w:t>הפרטה</w:t>
      </w:r>
      <w:r w:rsidRPr="00435653">
        <w:rPr>
          <w:rFonts w:ascii="Century" w:hAnsi="Century" w:hint="cs"/>
          <w:sz w:val="22"/>
          <w:rtl/>
        </w:rPr>
        <w:t xml:space="preserve"> (השוו: פסקה 2 לחוות דעתו של השופט </w:t>
      </w:r>
      <w:r w:rsidRPr="00435653">
        <w:rPr>
          <w:rFonts w:ascii="Century" w:hAnsi="Century" w:cs="Miriam" w:hint="cs"/>
          <w:b/>
          <w:spacing w:val="0"/>
          <w:sz w:val="22"/>
          <w:szCs w:val="24"/>
          <w:rtl/>
        </w:rPr>
        <w:t>עמית</w:t>
      </w:r>
      <w:r w:rsidRPr="00435653">
        <w:rPr>
          <w:rFonts w:ascii="Century" w:hAnsi="Century" w:hint="cs"/>
          <w:sz w:val="22"/>
          <w:rtl/>
        </w:rPr>
        <w:t xml:space="preserve">), מעוררת קושי במישור חובת ההגינות המוטלת על בעל שליטה </w:t>
      </w:r>
      <w:r w:rsidRPr="00435653">
        <w:rPr>
          <w:rFonts w:ascii="Century" w:hAnsi="Century" w:cs="Miriam" w:hint="cs"/>
          <w:b/>
          <w:spacing w:val="0"/>
          <w:sz w:val="22"/>
          <w:szCs w:val="24"/>
          <w:rtl/>
        </w:rPr>
        <w:t>כלפי החברה</w:t>
      </w:r>
      <w:r w:rsidRPr="00435653">
        <w:rPr>
          <w:rFonts w:ascii="Century" w:hAnsi="Century" w:hint="cs"/>
          <w:sz w:val="22"/>
          <w:rtl/>
        </w:rPr>
        <w:t xml:space="preserve"> (השוו: </w:t>
      </w:r>
      <w:proofErr w:type="spellStart"/>
      <w:r w:rsidRPr="00435653">
        <w:rPr>
          <w:rFonts w:ascii="Century" w:hAnsi="Century" w:cs="Miriam" w:hint="cs"/>
          <w:b/>
          <w:spacing w:val="0"/>
          <w:sz w:val="22"/>
          <w:szCs w:val="24"/>
          <w:rtl/>
        </w:rPr>
        <w:t>גרוסקופף</w:t>
      </w:r>
      <w:proofErr w:type="spellEnd"/>
      <w:r w:rsidRPr="00435653">
        <w:rPr>
          <w:rFonts w:ascii="Century" w:hAnsi="Century" w:cs="Miriam" w:hint="cs"/>
          <w:b/>
          <w:spacing w:val="0"/>
          <w:sz w:val="22"/>
          <w:szCs w:val="24"/>
          <w:rtl/>
        </w:rPr>
        <w:t xml:space="preserve"> ובן-ציון</w:t>
      </w:r>
      <w:r w:rsidRPr="00435653">
        <w:rPr>
          <w:rFonts w:ascii="Century" w:hAnsi="Century" w:hint="cs"/>
          <w:sz w:val="22"/>
          <w:rtl/>
        </w:rPr>
        <w:t xml:space="preserve">, בעמודים 146-145). הווה אומר, עמדתי היא, כי בנסיבות המתוארות, החלטה תקינה במישור דיני החברות, </w:t>
      </w:r>
      <w:r>
        <w:rPr>
          <w:rFonts w:ascii="Century" w:hAnsi="Century" w:hint="cs"/>
          <w:sz w:val="22"/>
          <w:rtl/>
        </w:rPr>
        <w:t>חייבת</w:t>
      </w:r>
      <w:r w:rsidRPr="00435653">
        <w:rPr>
          <w:rFonts w:ascii="Century" w:hAnsi="Century" w:hint="cs"/>
          <w:sz w:val="22"/>
          <w:rtl/>
        </w:rPr>
        <w:t xml:space="preserve"> להתבסס על תשתית עובדתית כלשהי, שכן אין להלום מצב בו בעל </w:t>
      </w:r>
      <w:r w:rsidRPr="00435653">
        <w:rPr>
          <w:rFonts w:ascii="Century" w:hAnsi="Century" w:hint="cs"/>
          <w:sz w:val="22"/>
          <w:rtl/>
        </w:rPr>
        <w:lastRenderedPageBreak/>
        <w:t xml:space="preserve">השליטה מגלה אדישות מוחלטת לנזקים שהחלטתו עלולה לגרום לחברה (השוו: עניין </w:t>
      </w:r>
      <w:proofErr w:type="spellStart"/>
      <w:r w:rsidRPr="00435653">
        <w:rPr>
          <w:rFonts w:ascii="Century" w:hAnsi="Century" w:cs="Miriam" w:hint="cs"/>
          <w:b/>
          <w:spacing w:val="0"/>
          <w:sz w:val="22"/>
          <w:szCs w:val="24"/>
          <w:rtl/>
        </w:rPr>
        <w:t>ברדיצ'ב</w:t>
      </w:r>
      <w:proofErr w:type="spellEnd"/>
      <w:r w:rsidRPr="00435653">
        <w:rPr>
          <w:rFonts w:ascii="Century" w:hAnsi="Century" w:hint="cs"/>
          <w:sz w:val="22"/>
          <w:rtl/>
        </w:rPr>
        <w:t>, בפסקה 97).</w:t>
      </w:r>
    </w:p>
    <w:p w:rsidR="00433434" w:rsidRPr="00435653" w:rsidRDefault="00433434" w:rsidP="00433434">
      <w:pPr>
        <w:pStyle w:val="Ruller41"/>
        <w:rPr>
          <w:rFonts w:ascii="Century" w:hAnsi="Century"/>
          <w:rtl/>
        </w:rPr>
      </w:pPr>
      <w:r w:rsidRPr="00435653">
        <w:rPr>
          <w:rFonts w:ascii="Century" w:hAnsi="Century" w:cs="Miriam" w:hint="cs"/>
          <w:b/>
          <w:spacing w:val="0"/>
          <w:szCs w:val="24"/>
          <w:rtl/>
        </w:rPr>
        <w:t>הפגיעה בזכות הטיעון</w:t>
      </w:r>
    </w:p>
    <w:p w:rsidR="00433434" w:rsidRPr="00435653" w:rsidRDefault="00433434" w:rsidP="00433434">
      <w:pPr>
        <w:pStyle w:val="Ruller4"/>
        <w:spacing w:before="240" w:after="240"/>
        <w:rPr>
          <w:rFonts w:ascii="Century" w:hAnsi="Century"/>
          <w:sz w:val="22"/>
          <w:rtl/>
        </w:rPr>
      </w:pPr>
      <w:r w:rsidRPr="00435653">
        <w:rPr>
          <w:rFonts w:ascii="Century" w:hAnsi="Century" w:hint="cs"/>
          <w:sz w:val="22"/>
          <w:rtl/>
        </w:rPr>
        <w:t xml:space="preserve">להדחתו של העותר גם לא קדם הליך שימוע כדין. השתלשלות העניינים, עליה אין כל מחלוקת, מצביעה על כך שההחלטה על הדחתו התקבלה כבר בתחילת חודש מרץ 2023, באותה 'שיחת מסדרון'. כידוע, זכות הטיעון היא חלק </w:t>
      </w:r>
      <w:r w:rsidRPr="00435653">
        <w:rPr>
          <w:rFonts w:ascii="Century" w:hAnsi="Century" w:cs="Miriam" w:hint="cs"/>
          <w:b/>
          <w:spacing w:val="0"/>
          <w:sz w:val="22"/>
          <w:szCs w:val="24"/>
          <w:rtl/>
        </w:rPr>
        <w:t>מכללי הצדק הטבעי</w:t>
      </w:r>
      <w:r w:rsidRPr="00435653">
        <w:rPr>
          <w:rFonts w:ascii="Century" w:hAnsi="Century" w:hint="cs"/>
          <w:sz w:val="22"/>
          <w:rtl/>
        </w:rPr>
        <w:t xml:space="preserve">, חלה ביחס לכל החלטה </w:t>
      </w:r>
      <w:proofErr w:type="spellStart"/>
      <w:r w:rsidRPr="00435653">
        <w:rPr>
          <w:rFonts w:ascii="Century" w:hAnsi="Century" w:hint="cs"/>
          <w:sz w:val="22"/>
          <w:rtl/>
        </w:rPr>
        <w:t>מינהלית</w:t>
      </w:r>
      <w:proofErr w:type="spellEnd"/>
      <w:r w:rsidRPr="00435653">
        <w:rPr>
          <w:rFonts w:ascii="Century" w:hAnsi="Century" w:hint="cs"/>
          <w:sz w:val="22"/>
          <w:rtl/>
        </w:rPr>
        <w:t>, כל אימת שזו עלולה לפגוע בזכות או באינטרס של הפרט, והפרתה</w:t>
      </w:r>
      <w:r w:rsidRPr="00435653">
        <w:rPr>
          <w:rFonts w:ascii="Century" w:hAnsi="Century"/>
          <w:sz w:val="22"/>
          <w:rtl/>
        </w:rPr>
        <w:t xml:space="preserve"> –</w:t>
      </w:r>
      <w:r w:rsidRPr="00435653">
        <w:rPr>
          <w:rFonts w:ascii="Century" w:hAnsi="Century" w:hint="cs"/>
          <w:sz w:val="22"/>
          <w:rtl/>
        </w:rPr>
        <w:t xml:space="preserve"> עשויה להביא לביטול המעשה </w:t>
      </w:r>
      <w:proofErr w:type="spellStart"/>
      <w:r w:rsidRPr="00435653">
        <w:rPr>
          <w:rFonts w:ascii="Century" w:hAnsi="Century" w:hint="cs"/>
          <w:sz w:val="22"/>
          <w:rtl/>
        </w:rPr>
        <w:t>המינהלי</w:t>
      </w:r>
      <w:proofErr w:type="spellEnd"/>
      <w:r w:rsidRPr="00435653">
        <w:rPr>
          <w:rFonts w:ascii="Century" w:hAnsi="Century" w:hint="cs"/>
          <w:sz w:val="22"/>
          <w:rtl/>
        </w:rPr>
        <w:t xml:space="preserve"> (ראו, מני רבים: בג"ץ 1661/05 </w:t>
      </w:r>
      <w:r w:rsidRPr="00435653">
        <w:rPr>
          <w:rFonts w:ascii="Century" w:hAnsi="Century" w:cs="Miriam" w:hint="cs"/>
          <w:b/>
          <w:spacing w:val="0"/>
          <w:sz w:val="22"/>
          <w:szCs w:val="24"/>
          <w:rtl/>
        </w:rPr>
        <w:t>המועצה האזורית חוף עזה נ' כנסת ישראל</w:t>
      </w:r>
      <w:r w:rsidRPr="00435653">
        <w:rPr>
          <w:rFonts w:ascii="Century" w:hAnsi="Century" w:hint="cs"/>
          <w:sz w:val="22"/>
          <w:rtl/>
        </w:rPr>
        <w:t xml:space="preserve">, פ"ד נט(2) 481, 554 (2005); בג"ץ 3/58 </w:t>
      </w:r>
      <w:r w:rsidRPr="00435653">
        <w:rPr>
          <w:rFonts w:ascii="Century" w:hAnsi="Century" w:cs="Miriam" w:hint="cs"/>
          <w:b/>
          <w:spacing w:val="0"/>
          <w:sz w:val="22"/>
          <w:szCs w:val="24"/>
          <w:rtl/>
        </w:rPr>
        <w:t>ברמן נ' שר הפנים</w:t>
      </w:r>
      <w:r w:rsidRPr="00435653">
        <w:rPr>
          <w:rFonts w:ascii="Century" w:hAnsi="Century" w:hint="cs"/>
          <w:sz w:val="22"/>
          <w:rtl/>
        </w:rPr>
        <w:t xml:space="preserve">, פ"ד </w:t>
      </w:r>
      <w:proofErr w:type="spellStart"/>
      <w:r w:rsidRPr="00435653">
        <w:rPr>
          <w:rFonts w:ascii="Century" w:hAnsi="Century" w:hint="cs"/>
          <w:sz w:val="22"/>
          <w:rtl/>
        </w:rPr>
        <w:t>יב</w:t>
      </w:r>
      <w:proofErr w:type="spellEnd"/>
      <w:r w:rsidRPr="00435653">
        <w:rPr>
          <w:rFonts w:ascii="Century" w:hAnsi="Century" w:hint="cs"/>
          <w:sz w:val="22"/>
          <w:rtl/>
        </w:rPr>
        <w:t xml:space="preserve"> 1493 (1958); בג"ץ 3379/03 </w:t>
      </w:r>
      <w:proofErr w:type="spellStart"/>
      <w:r w:rsidRPr="00435653">
        <w:rPr>
          <w:rFonts w:ascii="Century" w:hAnsi="Century" w:cs="Miriam" w:hint="cs"/>
          <w:b/>
          <w:spacing w:val="0"/>
          <w:sz w:val="22"/>
          <w:szCs w:val="24"/>
          <w:rtl/>
        </w:rPr>
        <w:t>מוסטקי</w:t>
      </w:r>
      <w:proofErr w:type="spellEnd"/>
      <w:r w:rsidRPr="00435653">
        <w:rPr>
          <w:rFonts w:ascii="Century" w:hAnsi="Century" w:cs="Miriam" w:hint="cs"/>
          <w:b/>
          <w:spacing w:val="0"/>
          <w:sz w:val="22"/>
          <w:szCs w:val="24"/>
          <w:rtl/>
        </w:rPr>
        <w:t xml:space="preserve"> נ' פרקליטות המדינה</w:t>
      </w:r>
      <w:r w:rsidRPr="00435653">
        <w:rPr>
          <w:rFonts w:ascii="Century" w:hAnsi="Century" w:hint="cs"/>
          <w:sz w:val="22"/>
          <w:rtl/>
        </w:rPr>
        <w:t xml:space="preserve">, פ"ד נח(3) 865, 890-889 (2004); </w:t>
      </w:r>
      <w:r w:rsidRPr="00435653">
        <w:rPr>
          <w:rFonts w:ascii="Century" w:hAnsi="Century" w:cs="Miriam" w:hint="cs"/>
          <w:b/>
          <w:spacing w:val="0"/>
          <w:sz w:val="22"/>
          <w:szCs w:val="24"/>
          <w:rtl/>
        </w:rPr>
        <w:t>ברק-ארז</w:t>
      </w:r>
      <w:r w:rsidRPr="00435653">
        <w:rPr>
          <w:rFonts w:ascii="Century" w:hAnsi="Century" w:hint="cs"/>
          <w:sz w:val="22"/>
          <w:rtl/>
        </w:rPr>
        <w:t>, בעמודים 463-462).</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כה טבעיים הם כללי הצדק הטבעי, עד כדי כך שלעתים הם חלים גם במשפט הפרטי בטהרתו. כך, למשל, גם ביחס לענייננו, דהיינו </w:t>
      </w:r>
      <w:r w:rsidRPr="00435653">
        <w:rPr>
          <w:rFonts w:ascii="Century" w:hAnsi="Century"/>
          <w:sz w:val="22"/>
          <w:rtl/>
        </w:rPr>
        <w:t>–</w:t>
      </w:r>
      <w:r w:rsidRPr="00435653">
        <w:rPr>
          <w:rFonts w:ascii="Century" w:hAnsi="Century" w:hint="cs"/>
          <w:sz w:val="22"/>
          <w:rtl/>
        </w:rPr>
        <w:t xml:space="preserve"> בהתייחס לחובה לערוך שימוע בטרם פיטורין (אהרן ברק </w:t>
      </w:r>
      <w:r w:rsidRPr="00435653">
        <w:rPr>
          <w:rFonts w:ascii="Century" w:hAnsi="Century" w:cs="Miriam" w:hint="cs"/>
          <w:b/>
          <w:spacing w:val="0"/>
          <w:sz w:val="22"/>
          <w:szCs w:val="24"/>
          <w:rtl/>
        </w:rPr>
        <w:t xml:space="preserve">חוק-יסוד: כבוד האדם וחירותו וחוק-יסוד: חופש העיסוק </w:t>
      </w:r>
      <w:r w:rsidRPr="00435653">
        <w:rPr>
          <w:rFonts w:ascii="Century" w:hAnsi="Century" w:hint="cs"/>
          <w:sz w:val="22"/>
          <w:rtl/>
        </w:rPr>
        <w:t xml:space="preserve">כרך ב </w:t>
      </w:r>
      <w:r w:rsidRPr="00435653">
        <w:rPr>
          <w:rFonts w:ascii="Century" w:hAnsi="Century"/>
          <w:sz w:val="22"/>
          <w:rtl/>
        </w:rPr>
        <w:t>–</w:t>
      </w:r>
      <w:r w:rsidRPr="00435653">
        <w:rPr>
          <w:rFonts w:ascii="Century" w:hAnsi="Century" w:hint="cs"/>
          <w:sz w:val="22"/>
          <w:rtl/>
        </w:rPr>
        <w:t xml:space="preserve"> הזכות לכבוד האדם 1116-1115 (מסדרת פירוש לחוקי היסוד, יצחק זמיר עורך, 2023); </w:t>
      </w:r>
      <w:r w:rsidRPr="00435653">
        <w:rPr>
          <w:rFonts w:ascii="Century" w:hAnsi="Century" w:cs="Miriam" w:hint="cs"/>
          <w:b/>
          <w:spacing w:val="0"/>
          <w:sz w:val="22"/>
          <w:szCs w:val="24"/>
          <w:rtl/>
        </w:rPr>
        <w:t>ברק-ארז</w:t>
      </w:r>
      <w:r w:rsidRPr="00435653">
        <w:rPr>
          <w:rFonts w:ascii="Century" w:hAnsi="Century" w:hint="cs"/>
          <w:sz w:val="22"/>
          <w:rtl/>
        </w:rPr>
        <w:t xml:space="preserve">, בעמוד 462, </w:t>
      </w:r>
      <w:proofErr w:type="spellStart"/>
      <w:r w:rsidRPr="00435653">
        <w:rPr>
          <w:rFonts w:ascii="Century" w:hAnsi="Century" w:hint="cs"/>
          <w:sz w:val="22"/>
          <w:rtl/>
        </w:rPr>
        <w:t>ה"ש</w:t>
      </w:r>
      <w:proofErr w:type="spellEnd"/>
      <w:r w:rsidRPr="00435653">
        <w:rPr>
          <w:rFonts w:ascii="Century" w:hAnsi="Century" w:hint="cs"/>
          <w:sz w:val="22"/>
          <w:rtl/>
        </w:rPr>
        <w:t xml:space="preserve"> 2). </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על כך יש להוסיף, כי סעיף 230 לחוק החברות קובע במפורש, כי האסיפה הכללית אינה רשאית להורות על פיטוריו של דירקטור, אלא אם כן ניתנה לו "</w:t>
      </w:r>
      <w:r w:rsidRPr="00435653">
        <w:rPr>
          <w:rFonts w:ascii="Century" w:hAnsi="Century" w:cs="Miriam"/>
          <w:b/>
          <w:spacing w:val="0"/>
          <w:sz w:val="22"/>
          <w:szCs w:val="24"/>
          <w:rtl/>
        </w:rPr>
        <w:t>הזדמנות סבירה להביא את עמדתו</w:t>
      </w:r>
      <w:r w:rsidRPr="00435653">
        <w:rPr>
          <w:rFonts w:ascii="Century" w:hAnsi="Century" w:hint="cs"/>
          <w:sz w:val="22"/>
          <w:rtl/>
        </w:rPr>
        <w:t>" בפניה. דומה, כי בין השאר, תכליתה של הוראה זו היא לחזק את עצמאותו של הדירקטור אל מול בעל השליטה, שכן זימון האספה הכללית לשם פיטורי הדירקטור עלול לעורר "</w:t>
      </w:r>
      <w:r w:rsidRPr="00435653">
        <w:rPr>
          <w:rFonts w:ascii="Century" w:hAnsi="Century" w:cs="Miriam" w:hint="cs"/>
          <w:b/>
          <w:spacing w:val="0"/>
          <w:sz w:val="22"/>
          <w:szCs w:val="24"/>
          <w:rtl/>
        </w:rPr>
        <w:t>תהודה ציבורית רחבה שתפגע בחברה ובבעלי השליטה</w:t>
      </w:r>
      <w:r w:rsidRPr="00435653">
        <w:rPr>
          <w:rFonts w:ascii="Century" w:hAnsi="Century" w:hint="cs"/>
          <w:sz w:val="22"/>
          <w:rtl/>
        </w:rPr>
        <w:t>" (</w:t>
      </w:r>
      <w:r w:rsidRPr="00435653">
        <w:rPr>
          <w:rFonts w:ascii="Century" w:hAnsi="Century" w:cs="Miriam" w:hint="cs"/>
          <w:b/>
          <w:spacing w:val="0"/>
          <w:sz w:val="22"/>
          <w:szCs w:val="24"/>
          <w:rtl/>
        </w:rPr>
        <w:t xml:space="preserve">גרוס </w:t>
      </w:r>
      <w:r w:rsidRPr="00435653">
        <w:rPr>
          <w:rFonts w:ascii="Century" w:hAnsi="Century" w:cs="Miriam"/>
          <w:b/>
          <w:spacing w:val="0"/>
          <w:sz w:val="22"/>
          <w:szCs w:val="24"/>
          <w:rtl/>
        </w:rPr>
        <w:t>–</w:t>
      </w:r>
      <w:r w:rsidRPr="00435653">
        <w:rPr>
          <w:rFonts w:ascii="Century" w:hAnsi="Century" w:cs="Miriam" w:hint="cs"/>
          <w:b/>
          <w:spacing w:val="0"/>
          <w:sz w:val="22"/>
          <w:szCs w:val="24"/>
          <w:rtl/>
        </w:rPr>
        <w:t xml:space="preserve"> דירקטורים</w:t>
      </w:r>
      <w:r w:rsidRPr="00435653">
        <w:rPr>
          <w:rFonts w:ascii="Century" w:hAnsi="Century" w:hint="cs"/>
          <w:sz w:val="22"/>
          <w:rtl/>
        </w:rPr>
        <w:t xml:space="preserve">, בעמוד 52). </w:t>
      </w:r>
    </w:p>
    <w:p w:rsidR="00433434" w:rsidRPr="00435653" w:rsidRDefault="008A79B6" w:rsidP="008A79B6">
      <w:pPr>
        <w:pStyle w:val="Ruller41"/>
        <w:rPr>
          <w:rtl/>
        </w:rPr>
      </w:pPr>
      <w:r>
        <w:rPr>
          <w:rtl/>
        </w:rPr>
        <w:tab/>
      </w:r>
      <w:r w:rsidR="00433434" w:rsidRPr="00435653">
        <w:rPr>
          <w:rFonts w:hint="cs"/>
          <w:rtl/>
        </w:rPr>
        <w:t xml:space="preserve">אם כן, הפגיעה בזכות הטיעון בענייננו, כמוה כפגיעה בעצמאות הדירקטוריון; מכאן, שלא זו בלבד שהיא אינה עולה בקנה אחד עם כללי היסוד של המשפט </w:t>
      </w:r>
      <w:proofErr w:type="spellStart"/>
      <w:r w:rsidR="00433434" w:rsidRPr="00435653">
        <w:rPr>
          <w:rFonts w:hint="cs"/>
          <w:rtl/>
        </w:rPr>
        <w:t>המינהלי</w:t>
      </w:r>
      <w:proofErr w:type="spellEnd"/>
      <w:r w:rsidR="00433434" w:rsidRPr="00435653">
        <w:rPr>
          <w:rFonts w:hint="cs"/>
          <w:rtl/>
        </w:rPr>
        <w:t xml:space="preserve">, הרי שהיא גם אינה תקינה בראי דיני החברות. </w:t>
      </w:r>
    </w:p>
    <w:p w:rsidR="00433434" w:rsidRPr="00435653" w:rsidRDefault="00433434" w:rsidP="008A79B6">
      <w:pPr>
        <w:pStyle w:val="Ruller4"/>
        <w:numPr>
          <w:ilvl w:val="0"/>
          <w:numId w:val="0"/>
        </w:numPr>
        <w:spacing w:before="240" w:after="240"/>
        <w:rPr>
          <w:rFonts w:ascii="Century" w:hAnsi="Century"/>
          <w:sz w:val="22"/>
        </w:rPr>
      </w:pPr>
      <w:r w:rsidRPr="00435653">
        <w:rPr>
          <w:rFonts w:ascii="Century" w:hAnsi="Century" w:cs="Miriam" w:hint="cs"/>
          <w:b/>
          <w:spacing w:val="0"/>
          <w:sz w:val="22"/>
          <w:szCs w:val="24"/>
          <w:rtl/>
        </w:rPr>
        <w:t>הפגיעה בעצמאותו של הדירקטוריון</w:t>
      </w:r>
      <w:r w:rsidRPr="00435653">
        <w:rPr>
          <w:rFonts w:ascii="Century" w:hAnsi="Century" w:hint="cs"/>
          <w:sz w:val="22"/>
          <w:rtl/>
        </w:rPr>
        <w:t xml:space="preserve"> </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ומעניין לעניין באותו עניין. עצם הדחתו של העותר מערער </w:t>
      </w:r>
      <w:r>
        <w:rPr>
          <w:rFonts w:ascii="Century" w:hAnsi="Century" w:hint="cs"/>
          <w:sz w:val="22"/>
          <w:rtl/>
        </w:rPr>
        <w:t>את</w:t>
      </w:r>
      <w:r w:rsidRPr="00435653">
        <w:rPr>
          <w:rFonts w:ascii="Century" w:hAnsi="Century" w:hint="cs"/>
          <w:sz w:val="22"/>
          <w:rtl/>
        </w:rPr>
        <w:t xml:space="preserve"> תכליותיו של חוק החברות הממשלתיות ומהווה פגיעה אנושה בעצמאות הדירקטוריון של חברת הדואר. כאמור, עצמאות דירקטוריון החברה הממשלתית עוברת כחוט השני בחוק החברות הממשלתיות. היא מקודמת באמצעות מנגנונים שונים שיצר החוק, אשר תוארו </w:t>
      </w:r>
      <w:r w:rsidRPr="00435653">
        <w:rPr>
          <w:rFonts w:ascii="Century" w:hAnsi="Century" w:hint="cs"/>
          <w:sz w:val="22"/>
          <w:rtl/>
        </w:rPr>
        <w:lastRenderedPageBreak/>
        <w:t xml:space="preserve">בהרחבה לעיל, ואשר נועדו, בין השאר, "להרחיק" את השרים מפעילותה העסקית השוטפת של החברה.  </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לכך אוסיף, כי כפי שציין השופט </w:t>
      </w:r>
      <w:r w:rsidRPr="00435653">
        <w:rPr>
          <w:rFonts w:ascii="Century" w:hAnsi="Century" w:cs="Miriam" w:hint="cs"/>
          <w:b/>
          <w:spacing w:val="0"/>
          <w:sz w:val="22"/>
          <w:szCs w:val="24"/>
          <w:rtl/>
        </w:rPr>
        <w:t>עמית</w:t>
      </w:r>
      <w:r w:rsidRPr="00435653">
        <w:rPr>
          <w:rFonts w:ascii="Century" w:hAnsi="Century" w:hint="cs"/>
          <w:sz w:val="22"/>
          <w:rtl/>
        </w:rPr>
        <w:t>, "</w:t>
      </w:r>
      <w:r w:rsidRPr="00435653">
        <w:rPr>
          <w:rFonts w:ascii="Century" w:hAnsi="Century" w:cs="Miriam" w:hint="cs"/>
          <w:b/>
          <w:spacing w:val="0"/>
          <w:sz w:val="22"/>
          <w:szCs w:val="24"/>
          <w:rtl/>
        </w:rPr>
        <w:t>בכך לא שונה דינו של דירקטור בחברה ממשלתית מדינו של דירקטור בחברה פרטית או ציבורית</w:t>
      </w:r>
      <w:r w:rsidRPr="00435653">
        <w:rPr>
          <w:rFonts w:ascii="Century" w:hAnsi="Century" w:hint="cs"/>
          <w:sz w:val="22"/>
          <w:rtl/>
        </w:rPr>
        <w:t xml:space="preserve">" (בפסקה 8 לחוות דעתו). פגיעה בשיקול דעתו העצמאי של הדירקטור </w:t>
      </w:r>
      <w:r w:rsidRPr="00435653">
        <w:rPr>
          <w:rFonts w:ascii="Century" w:hAnsi="Century"/>
          <w:sz w:val="22"/>
          <w:rtl/>
        </w:rPr>
        <w:t>–</w:t>
      </w:r>
      <w:r w:rsidRPr="00435653">
        <w:rPr>
          <w:rFonts w:ascii="Century" w:hAnsi="Century" w:hint="cs"/>
          <w:sz w:val="22"/>
          <w:rtl/>
        </w:rPr>
        <w:t xml:space="preserve"> אסורה, אם כן, על פי חוק החברות הממשלתיות, אך היא גם אינה תקינה במישור דיני החברות הכלליים. כאמור, סעיף 106 לחוק החברות מטיל על הדירקטור חובה להפעיל שיקול דעת עצמאי, וכך גם נאסר על </w:t>
      </w:r>
      <w:r w:rsidRPr="00435653">
        <w:rPr>
          <w:rFonts w:ascii="Century" w:hAnsi="Century" w:cs="Miriam" w:hint="cs"/>
          <w:b/>
          <w:spacing w:val="0"/>
          <w:sz w:val="22"/>
          <w:szCs w:val="24"/>
          <w:rtl/>
        </w:rPr>
        <w:t>בעל השליטה</w:t>
      </w:r>
      <w:r w:rsidRPr="00435653">
        <w:rPr>
          <w:rFonts w:ascii="Century" w:hAnsi="Century" w:hint="cs"/>
          <w:sz w:val="22"/>
          <w:rtl/>
        </w:rPr>
        <w:t xml:space="preserve"> </w:t>
      </w:r>
      <w:r w:rsidRPr="00435653">
        <w:rPr>
          <w:rFonts w:ascii="Century" w:hAnsi="Century"/>
          <w:sz w:val="22"/>
          <w:rtl/>
        </w:rPr>
        <w:t>–</w:t>
      </w:r>
      <w:r w:rsidRPr="00435653">
        <w:rPr>
          <w:rFonts w:ascii="Century" w:hAnsi="Century" w:hint="cs"/>
          <w:sz w:val="22"/>
          <w:rtl/>
        </w:rPr>
        <w:t xml:space="preserve"> כל בעל שליטה </w:t>
      </w:r>
      <w:r w:rsidRPr="00435653">
        <w:rPr>
          <w:rFonts w:ascii="Century" w:hAnsi="Century"/>
          <w:sz w:val="22"/>
          <w:rtl/>
        </w:rPr>
        <w:t>–</w:t>
      </w:r>
      <w:r w:rsidRPr="00435653">
        <w:rPr>
          <w:rFonts w:ascii="Century" w:hAnsi="Century" w:hint="cs"/>
          <w:sz w:val="22"/>
          <w:rtl/>
        </w:rPr>
        <w:t xml:space="preserve"> </w:t>
      </w:r>
      <w:r w:rsidRPr="00435653">
        <w:rPr>
          <w:rFonts w:ascii="Century" w:hAnsi="Century" w:cs="Miriam" w:hint="cs"/>
          <w:b/>
          <w:spacing w:val="0"/>
          <w:sz w:val="22"/>
          <w:szCs w:val="24"/>
          <w:rtl/>
        </w:rPr>
        <w:t>לפגוע בעצמאותו זו</w:t>
      </w:r>
      <w:r w:rsidRPr="00435653">
        <w:rPr>
          <w:rFonts w:ascii="Century" w:hAnsi="Century" w:hint="cs"/>
          <w:sz w:val="22"/>
          <w:rtl/>
        </w:rPr>
        <w:t xml:space="preserve"> (ראו: פסקה 24 שלעיל).</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בדומה לכך, גם ההנמקה שניתנה להחלטת השרים מעוררת תהיות. כאמור בחוות דעתו של השופט </w:t>
      </w:r>
      <w:r w:rsidRPr="00435653">
        <w:rPr>
          <w:rFonts w:ascii="Century" w:hAnsi="Century" w:cs="Miriam" w:hint="cs"/>
          <w:b/>
          <w:spacing w:val="0"/>
          <w:sz w:val="22"/>
          <w:szCs w:val="24"/>
          <w:rtl/>
        </w:rPr>
        <w:t>מינץ</w:t>
      </w:r>
      <w:r w:rsidRPr="00435653">
        <w:rPr>
          <w:rFonts w:ascii="Century" w:hAnsi="Century" w:hint="cs"/>
          <w:sz w:val="22"/>
          <w:rtl/>
        </w:rPr>
        <w:t xml:space="preserve">, הן בטיוטת מכתב השימוע הן במכתב השימוע עצמו, ציין שר התקשורת כי הוא 'איבד אמון' בעותר (בפסקאות 36 ו-40 לחוות דעתו). בדומה לכך, גם בדיון שהתקיים לפנינו נטען כי העותר לא מילא אחר "מדיניות" השר </w:t>
      </w:r>
      <w:proofErr w:type="spellStart"/>
      <w:r w:rsidRPr="00435653">
        <w:rPr>
          <w:rFonts w:ascii="Century" w:hAnsi="Century" w:hint="cs"/>
          <w:sz w:val="22"/>
          <w:rtl/>
        </w:rPr>
        <w:t>ליתן</w:t>
      </w:r>
      <w:proofErr w:type="spellEnd"/>
      <w:r w:rsidRPr="00435653">
        <w:rPr>
          <w:rFonts w:ascii="Century" w:hAnsi="Century" w:hint="cs"/>
          <w:sz w:val="22"/>
          <w:rtl/>
        </w:rPr>
        <w:t xml:space="preserve"> שירות טוב ללקוחות חברת הדואר (ראו: פסקה 39 לחוות דעתו של השופט </w:t>
      </w:r>
      <w:r w:rsidRPr="00435653">
        <w:rPr>
          <w:rFonts w:ascii="Century" w:hAnsi="Century" w:cs="Miriam" w:hint="cs"/>
          <w:b/>
          <w:spacing w:val="0"/>
          <w:sz w:val="22"/>
          <w:szCs w:val="24"/>
          <w:rtl/>
        </w:rPr>
        <w:t>מינץ</w:t>
      </w:r>
      <w:r>
        <w:rPr>
          <w:rFonts w:ascii="Century" w:hAnsi="Century" w:hint="cs"/>
          <w:sz w:val="22"/>
          <w:rtl/>
        </w:rPr>
        <w:t>), וכלשון בא כוחו של השר לשיתוף פעולה אזורי "</w:t>
      </w:r>
      <w:r w:rsidRPr="00674830">
        <w:rPr>
          <w:rFonts w:ascii="Century" w:hAnsi="Century" w:cs="Miriam" w:hint="cs"/>
          <w:b/>
          <w:spacing w:val="0"/>
          <w:sz w:val="22"/>
          <w:szCs w:val="24"/>
          <w:rtl/>
        </w:rPr>
        <w:t>כאשר פועלים נגד מדיניות שהתווה השר וכאשר קיבלה אותה מדיניות את אמון הממשלה, אותו פקיד חורג מסמכותו</w:t>
      </w:r>
      <w:r>
        <w:rPr>
          <w:rFonts w:ascii="Century" w:hAnsi="Century" w:hint="cs"/>
          <w:sz w:val="22"/>
          <w:rtl/>
        </w:rPr>
        <w:t>".</w:t>
      </w:r>
      <w:r w:rsidRPr="00435653">
        <w:rPr>
          <w:rFonts w:ascii="Century" w:hAnsi="Century" w:hint="cs"/>
          <w:sz w:val="22"/>
          <w:rtl/>
        </w:rPr>
        <w:t xml:space="preserve"> </w:t>
      </w:r>
    </w:p>
    <w:p w:rsidR="00433434" w:rsidRPr="00435653" w:rsidRDefault="00433434" w:rsidP="00433434">
      <w:pPr>
        <w:pStyle w:val="Ruller4"/>
        <w:spacing w:before="240" w:after="240"/>
        <w:rPr>
          <w:rFonts w:ascii="Century" w:hAnsi="Century"/>
          <w:sz w:val="22"/>
        </w:rPr>
      </w:pPr>
      <w:r w:rsidRPr="00435653">
        <w:rPr>
          <w:rFonts w:ascii="Century" w:hAnsi="Century" w:hint="cs"/>
          <w:sz w:val="22"/>
          <w:rtl/>
        </w:rPr>
        <w:t xml:space="preserve">   </w:t>
      </w:r>
      <w:r w:rsidRPr="00435653">
        <w:rPr>
          <w:rFonts w:ascii="Century" w:hAnsi="Century" w:hint="eastAsia"/>
          <w:sz w:val="22"/>
          <w:rtl/>
        </w:rPr>
        <w:t>תחילה</w:t>
      </w:r>
      <w:r w:rsidRPr="00435653">
        <w:rPr>
          <w:rFonts w:ascii="Century" w:hAnsi="Century"/>
          <w:sz w:val="22"/>
          <w:rtl/>
        </w:rPr>
        <w:t xml:space="preserve"> </w:t>
      </w:r>
      <w:r w:rsidRPr="00435653">
        <w:rPr>
          <w:rFonts w:ascii="Century" w:hAnsi="Century" w:hint="cs"/>
          <w:sz w:val="22"/>
          <w:rtl/>
        </w:rPr>
        <w:t xml:space="preserve">יוער, כי על אף שבמונח </w:t>
      </w:r>
      <w:r w:rsidRPr="00435653">
        <w:rPr>
          <w:rFonts w:ascii="Century" w:hAnsi="Century" w:cs="Miriam" w:hint="cs"/>
          <w:b/>
          <w:spacing w:val="0"/>
          <w:sz w:val="22"/>
          <w:szCs w:val="24"/>
          <w:rtl/>
        </w:rPr>
        <w:t xml:space="preserve">פקיד </w:t>
      </w:r>
      <w:r w:rsidRPr="00435653">
        <w:rPr>
          <w:rFonts w:ascii="Century" w:hAnsi="Century" w:hint="cs"/>
          <w:sz w:val="22"/>
          <w:rtl/>
        </w:rPr>
        <w:t xml:space="preserve">אין משום פחיתות כבוד, מובן, כי יושב ראש דירקטוריון של חברה ממשלתית, אפילו הייתה חברה ממשלתית בבעלות מלאה, אינו </w:t>
      </w:r>
      <w:r w:rsidRPr="00435653">
        <w:rPr>
          <w:rFonts w:ascii="Century" w:hAnsi="Century" w:cs="Miriam" w:hint="cs"/>
          <w:b/>
          <w:spacing w:val="0"/>
          <w:sz w:val="22"/>
          <w:szCs w:val="24"/>
          <w:rtl/>
        </w:rPr>
        <w:t>פקיד ציבור</w:t>
      </w:r>
      <w:r>
        <w:rPr>
          <w:rFonts w:ascii="Century" w:hAnsi="Century" w:hint="cs"/>
          <w:sz w:val="22"/>
          <w:rtl/>
        </w:rPr>
        <w:t>, כפי שביקשו לטעון באי כוח השרים</w:t>
      </w:r>
      <w:r w:rsidRPr="00435653">
        <w:rPr>
          <w:rFonts w:ascii="Century" w:hAnsi="Century" w:hint="cs"/>
          <w:sz w:val="22"/>
          <w:rtl/>
        </w:rPr>
        <w:t xml:space="preserve"> (על כך ראו בפסקה 5 לחוות דעתו של השופט </w:t>
      </w:r>
      <w:r w:rsidRPr="00435653">
        <w:rPr>
          <w:rFonts w:ascii="Century" w:hAnsi="Century" w:cs="Miriam" w:hint="cs"/>
          <w:b/>
          <w:spacing w:val="0"/>
          <w:sz w:val="22"/>
          <w:szCs w:val="24"/>
          <w:rtl/>
        </w:rPr>
        <w:t>עמית</w:t>
      </w:r>
      <w:r w:rsidRPr="00435653">
        <w:rPr>
          <w:rFonts w:ascii="Century" w:hAnsi="Century" w:hint="cs"/>
          <w:sz w:val="22"/>
          <w:rtl/>
        </w:rPr>
        <w:t xml:space="preserve">). כאמור לעיל, החברה הממשלתית, היא קודם כל </w:t>
      </w:r>
      <w:r w:rsidRPr="00435653">
        <w:rPr>
          <w:rFonts w:ascii="Century" w:hAnsi="Century" w:cs="Miriam" w:hint="cs"/>
          <w:b/>
          <w:spacing w:val="0"/>
          <w:sz w:val="22"/>
          <w:szCs w:val="24"/>
          <w:rtl/>
        </w:rPr>
        <w:t>חברה</w:t>
      </w:r>
      <w:r w:rsidRPr="00435653">
        <w:rPr>
          <w:rFonts w:ascii="Century" w:hAnsi="Century" w:hint="cs"/>
          <w:sz w:val="22"/>
          <w:rtl/>
        </w:rPr>
        <w:t xml:space="preserve">. יושב ראש הדירקטוריון של החברה הממשלתית הוא </w:t>
      </w:r>
      <w:r w:rsidRPr="00435653">
        <w:rPr>
          <w:rFonts w:ascii="Century" w:hAnsi="Century" w:cs="Miriam" w:hint="cs"/>
          <w:b/>
          <w:spacing w:val="0"/>
          <w:sz w:val="22"/>
          <w:szCs w:val="24"/>
          <w:rtl/>
        </w:rPr>
        <w:t>אורגן</w:t>
      </w:r>
      <w:r w:rsidRPr="00435653">
        <w:rPr>
          <w:rFonts w:ascii="Century" w:hAnsi="Century" w:hint="cs"/>
          <w:sz w:val="22"/>
          <w:rtl/>
        </w:rPr>
        <w:t xml:space="preserve"> של החברה. ככזה, חובת האמונים המוטלת עליו אינה מופנית כלפי </w:t>
      </w:r>
      <w:r w:rsidRPr="00435653">
        <w:rPr>
          <w:rFonts w:ascii="Century" w:hAnsi="Century" w:cs="Miriam" w:hint="cs"/>
          <w:b/>
          <w:spacing w:val="0"/>
          <w:sz w:val="22"/>
          <w:szCs w:val="24"/>
          <w:rtl/>
        </w:rPr>
        <w:t>בעל השליטה</w:t>
      </w:r>
      <w:r w:rsidRPr="00435653">
        <w:rPr>
          <w:rFonts w:ascii="Century" w:hAnsi="Century" w:hint="cs"/>
          <w:sz w:val="22"/>
          <w:rtl/>
        </w:rPr>
        <w:t xml:space="preserve">, לא כל שכן כלפי </w:t>
      </w:r>
      <w:r w:rsidRPr="00435653">
        <w:rPr>
          <w:rFonts w:ascii="Century" w:hAnsi="Century" w:cs="Miriam" w:hint="cs"/>
          <w:b/>
          <w:spacing w:val="0"/>
          <w:sz w:val="22"/>
          <w:szCs w:val="24"/>
          <w:rtl/>
        </w:rPr>
        <w:t>השרים</w:t>
      </w:r>
      <w:r w:rsidRPr="00435653">
        <w:rPr>
          <w:rFonts w:ascii="Century" w:hAnsi="Century" w:hint="cs"/>
          <w:sz w:val="22"/>
          <w:rtl/>
        </w:rPr>
        <w:t xml:space="preserve">, אלא בראש ובראשונה </w:t>
      </w:r>
      <w:r w:rsidRPr="00435653">
        <w:rPr>
          <w:rFonts w:ascii="Century" w:hAnsi="Century"/>
          <w:sz w:val="22"/>
          <w:rtl/>
        </w:rPr>
        <w:t>–</w:t>
      </w:r>
      <w:r w:rsidRPr="00435653">
        <w:rPr>
          <w:rFonts w:ascii="Century" w:hAnsi="Century" w:hint="cs"/>
          <w:sz w:val="22"/>
          <w:rtl/>
        </w:rPr>
        <w:t xml:space="preserve"> כלפי </w:t>
      </w:r>
      <w:r w:rsidRPr="00435653">
        <w:rPr>
          <w:rFonts w:ascii="Century" w:hAnsi="Century" w:cs="Miriam" w:hint="cs"/>
          <w:b/>
          <w:spacing w:val="0"/>
          <w:sz w:val="22"/>
          <w:szCs w:val="24"/>
          <w:rtl/>
        </w:rPr>
        <w:t>החברה</w:t>
      </w:r>
      <w:r w:rsidRPr="00435653">
        <w:rPr>
          <w:rFonts w:ascii="Century" w:hAnsi="Century" w:hint="cs"/>
          <w:sz w:val="22"/>
          <w:rtl/>
        </w:rPr>
        <w:t xml:space="preserve">. מובן, אם כן, כי 'אובדן אמון' של השר בדירקטור מסוים או ביושב ראש הדירקטוריון, אף אם ייצבע, לכאורה, בטעמים מקצועיים (על כך ראו בפסקה 40 לחוות דעתו של השופט </w:t>
      </w:r>
      <w:r w:rsidRPr="00435653">
        <w:rPr>
          <w:rFonts w:ascii="Century" w:hAnsi="Century" w:cs="Miriam" w:hint="cs"/>
          <w:b/>
          <w:spacing w:val="0"/>
          <w:sz w:val="22"/>
          <w:szCs w:val="24"/>
          <w:rtl/>
        </w:rPr>
        <w:t>מינץ</w:t>
      </w:r>
      <w:r w:rsidRPr="00435653">
        <w:rPr>
          <w:rFonts w:ascii="Century" w:hAnsi="Century" w:hint="cs"/>
          <w:sz w:val="22"/>
          <w:rtl/>
        </w:rPr>
        <w:t xml:space="preserve">), אינו יכול להיחשב אי מילוי התפקיד כראוי (לצורך סעיף 22(א)(6) לחוק), ועל כן </w:t>
      </w:r>
      <w:r w:rsidRPr="00435653">
        <w:rPr>
          <w:rFonts w:ascii="Century" w:hAnsi="Century"/>
          <w:sz w:val="22"/>
          <w:rtl/>
        </w:rPr>
        <w:t>–</w:t>
      </w:r>
      <w:r w:rsidRPr="00435653">
        <w:rPr>
          <w:rFonts w:ascii="Century" w:hAnsi="Century" w:hint="cs"/>
          <w:sz w:val="22"/>
          <w:rtl/>
        </w:rPr>
        <w:t xml:space="preserve"> </w:t>
      </w:r>
      <w:r w:rsidRPr="00435653">
        <w:rPr>
          <w:rFonts w:ascii="Century" w:hAnsi="Century" w:cs="Miriam" w:hint="cs"/>
          <w:b/>
          <w:spacing w:val="0"/>
          <w:sz w:val="22"/>
          <w:szCs w:val="24"/>
          <w:rtl/>
        </w:rPr>
        <w:t>הוא אינו יכול להצדיק את הדחתו מתפקידו</w:t>
      </w:r>
      <w:r w:rsidRPr="00435653">
        <w:rPr>
          <w:rFonts w:ascii="Century" w:hAnsi="Century" w:hint="cs"/>
          <w:sz w:val="22"/>
          <w:rtl/>
        </w:rPr>
        <w:t>. כך הם פני הדברים גם ביחס לטענה הכוללנית שנטענה בפנינו, לפיה העותר אינו מקיים את "מדיניות" שר התקשורת.</w:t>
      </w:r>
    </w:p>
    <w:p w:rsidR="00433434" w:rsidRPr="00435653" w:rsidRDefault="00433434" w:rsidP="00433434">
      <w:pPr>
        <w:pStyle w:val="Ruller41"/>
        <w:spacing w:before="240" w:after="240"/>
        <w:rPr>
          <w:rFonts w:ascii="Century" w:hAnsi="Century"/>
          <w:rtl/>
        </w:rPr>
      </w:pPr>
      <w:r w:rsidRPr="00435653">
        <w:rPr>
          <w:rFonts w:ascii="Century" w:hAnsi="Century" w:cs="Miriam" w:hint="cs"/>
          <w:b/>
          <w:spacing w:val="0"/>
          <w:szCs w:val="24"/>
          <w:rtl/>
        </w:rPr>
        <w:t>סוף דבר</w:t>
      </w:r>
    </w:p>
    <w:p w:rsidR="00433434" w:rsidRPr="00435653" w:rsidRDefault="00433434" w:rsidP="00433434">
      <w:pPr>
        <w:pStyle w:val="Ruller41"/>
        <w:numPr>
          <w:ilvl w:val="0"/>
          <w:numId w:val="11"/>
        </w:numPr>
        <w:spacing w:before="240" w:after="240"/>
      </w:pPr>
      <w:r w:rsidRPr="00435653">
        <w:rPr>
          <w:rFonts w:hint="cs"/>
          <w:rtl/>
        </w:rPr>
        <w:t xml:space="preserve">הקשיים עמם מבקשים להתמודד המשפט </w:t>
      </w:r>
      <w:proofErr w:type="spellStart"/>
      <w:r w:rsidRPr="00435653">
        <w:rPr>
          <w:rFonts w:hint="cs"/>
          <w:rtl/>
        </w:rPr>
        <w:t>המינהלי</w:t>
      </w:r>
      <w:proofErr w:type="spellEnd"/>
      <w:r w:rsidRPr="00435653">
        <w:rPr>
          <w:rFonts w:hint="cs"/>
          <w:rtl/>
        </w:rPr>
        <w:t xml:space="preserve"> ודיני החברות נושאים מאפיינים דומים. כך, שתי מערכות הדינים מכירות בצורך לרסן את הכוח של הנציגים הפועלים במסגרת הציבורית ובמסגרת התאגידית, בהתאמה. עמדתי לעיל על כך שהדין </w:t>
      </w:r>
      <w:r w:rsidRPr="00435653">
        <w:rPr>
          <w:rFonts w:hint="cs"/>
          <w:rtl/>
        </w:rPr>
        <w:lastRenderedPageBreak/>
        <w:t xml:space="preserve">החל על חברה ממשלתית, המצויה בקו התפר שבין שני תחומים אלה </w:t>
      </w:r>
      <w:r w:rsidRPr="00435653">
        <w:rPr>
          <w:rtl/>
        </w:rPr>
        <w:t>–</w:t>
      </w:r>
      <w:r w:rsidRPr="00435653">
        <w:rPr>
          <w:rFonts w:hint="cs"/>
          <w:rtl/>
        </w:rPr>
        <w:t xml:space="preserve"> מבקש להתמודד עם כלל הקשיים הללו, בעת ובעונה אחת. בתוך כך, בידי רשות החברות הממשלתיות נמסר תפקיד מפתח בהתמודדות עם קשיים אלו.  </w:t>
      </w:r>
    </w:p>
    <w:p w:rsidR="00433434" w:rsidRPr="00435653" w:rsidRDefault="00433434" w:rsidP="00433434">
      <w:pPr>
        <w:pStyle w:val="Ruller41"/>
        <w:numPr>
          <w:ilvl w:val="0"/>
          <w:numId w:val="11"/>
        </w:numPr>
        <w:spacing w:before="240" w:after="240"/>
      </w:pPr>
      <w:r w:rsidRPr="00435653">
        <w:rPr>
          <w:rFonts w:hint="cs"/>
          <w:rtl/>
        </w:rPr>
        <w:t xml:space="preserve">הפגמים שנפלו בהחלטת השרים בענייננו ממחישים היטב את האתגר הכפול שמציב העיסוק בחברה ממשלתית. כאמור בחוות דעתם המקיפה של חבריי, הפגמים </w:t>
      </w:r>
      <w:proofErr w:type="spellStart"/>
      <w:r w:rsidRPr="00435653">
        <w:rPr>
          <w:rFonts w:hint="cs"/>
          <w:rtl/>
        </w:rPr>
        <w:t>המינהליים</w:t>
      </w:r>
      <w:proofErr w:type="spellEnd"/>
      <w:r w:rsidRPr="00435653">
        <w:rPr>
          <w:rFonts w:hint="cs"/>
          <w:rtl/>
        </w:rPr>
        <w:t xml:space="preserve"> שנפלו בהחלטת השרים מובילי</w:t>
      </w:r>
      <w:r w:rsidRPr="00435653">
        <w:rPr>
          <w:rFonts w:hint="eastAsia"/>
          <w:rtl/>
        </w:rPr>
        <w:t>ם</w:t>
      </w:r>
      <w:r w:rsidRPr="00435653">
        <w:rPr>
          <w:rFonts w:hint="cs"/>
          <w:rtl/>
        </w:rPr>
        <w:t xml:space="preserve">, כשלעצמם, למסקנה מחויבת המציאות, כי דין החלטתם </w:t>
      </w:r>
      <w:r w:rsidRPr="00435653">
        <w:rPr>
          <w:rtl/>
        </w:rPr>
        <w:t>–</w:t>
      </w:r>
      <w:r w:rsidRPr="00435653">
        <w:rPr>
          <w:rFonts w:hint="cs"/>
          <w:rtl/>
        </w:rPr>
        <w:t xml:space="preserve"> בטלות. </w:t>
      </w:r>
    </w:p>
    <w:p w:rsidR="00433434" w:rsidRPr="00435653" w:rsidRDefault="00433434" w:rsidP="00433434">
      <w:pPr>
        <w:pStyle w:val="Ruller41"/>
        <w:numPr>
          <w:ilvl w:val="0"/>
          <w:numId w:val="11"/>
        </w:numPr>
        <w:spacing w:before="240" w:after="240"/>
      </w:pPr>
      <w:r w:rsidRPr="00435653">
        <w:rPr>
          <w:rFonts w:hint="cs"/>
          <w:rtl/>
        </w:rPr>
        <w:t xml:space="preserve">בצד האמור, ציינתי כי פגמים אלו מעוררים גם קשיים משמעותיים בהתחשב בחובות המוטלות על חברה ממשלתית, כמו גם על הממשלה כבעלת השליטה בה, במישור </w:t>
      </w:r>
      <w:r w:rsidRPr="00435653">
        <w:rPr>
          <w:rFonts w:ascii="Century" w:hAnsi="Century" w:cs="Miriam" w:hint="eastAsia"/>
          <w:b/>
          <w:spacing w:val="0"/>
          <w:szCs w:val="24"/>
          <w:rtl/>
        </w:rPr>
        <w:t>דיני</w:t>
      </w:r>
      <w:r w:rsidRPr="00435653">
        <w:rPr>
          <w:rFonts w:ascii="Century" w:hAnsi="Century" w:cs="Miriam"/>
          <w:b/>
          <w:spacing w:val="0"/>
          <w:szCs w:val="24"/>
          <w:rtl/>
        </w:rPr>
        <w:t xml:space="preserve"> </w:t>
      </w:r>
      <w:r w:rsidRPr="00435653">
        <w:rPr>
          <w:rFonts w:ascii="Century" w:hAnsi="Century" w:cs="Miriam" w:hint="eastAsia"/>
          <w:b/>
          <w:spacing w:val="0"/>
          <w:szCs w:val="24"/>
          <w:rtl/>
        </w:rPr>
        <w:t>החברות</w:t>
      </w:r>
      <w:r w:rsidRPr="00435653">
        <w:rPr>
          <w:rFonts w:hint="cs"/>
          <w:rtl/>
        </w:rPr>
        <w:t xml:space="preserve">. על כל אלה, יש להוסיף כאמור, גם את העובדה שהליך קבלת ההחלטה </w:t>
      </w:r>
      <w:r>
        <w:rPr>
          <w:rFonts w:hint="cs"/>
          <w:rtl/>
        </w:rPr>
        <w:t>חותר</w:t>
      </w:r>
      <w:r w:rsidRPr="00435653">
        <w:rPr>
          <w:rFonts w:hint="cs"/>
          <w:rtl/>
        </w:rPr>
        <w:t xml:space="preserve"> תחת מעמדה החשוב של רשות החברות הממשלתיות, כגורם המאסדר. </w:t>
      </w:r>
    </w:p>
    <w:p w:rsidR="00433434" w:rsidRDefault="00433434" w:rsidP="00433434">
      <w:pPr>
        <w:pStyle w:val="Ruller41"/>
        <w:numPr>
          <w:ilvl w:val="0"/>
          <w:numId w:val="11"/>
        </w:numPr>
        <w:spacing w:before="240" w:after="240"/>
      </w:pPr>
      <w:r w:rsidRPr="00435653">
        <w:rPr>
          <w:rFonts w:hint="cs"/>
          <w:rtl/>
        </w:rPr>
        <w:t xml:space="preserve">בהתאם לאמור לעיל, אני מצטרף לחוות דעתם של חבריי, השופט </w:t>
      </w:r>
      <w:r w:rsidRPr="00435653">
        <w:rPr>
          <w:rFonts w:ascii="Century" w:hAnsi="Century" w:cs="Miriam" w:hint="cs"/>
          <w:b/>
          <w:spacing w:val="0"/>
          <w:szCs w:val="24"/>
          <w:rtl/>
        </w:rPr>
        <w:t>מינץ</w:t>
      </w:r>
      <w:r w:rsidRPr="00435653">
        <w:rPr>
          <w:rFonts w:ascii="Century" w:hAnsi="Century" w:hint="cs"/>
          <w:rtl/>
        </w:rPr>
        <w:t xml:space="preserve"> והשופט </w:t>
      </w:r>
      <w:r w:rsidRPr="00435653">
        <w:rPr>
          <w:rFonts w:ascii="Century" w:hAnsi="Century" w:cs="Miriam" w:hint="eastAsia"/>
          <w:b/>
          <w:spacing w:val="0"/>
          <w:szCs w:val="24"/>
          <w:rtl/>
        </w:rPr>
        <w:t>עמית</w:t>
      </w:r>
      <w:r w:rsidRPr="00435653">
        <w:rPr>
          <w:rFonts w:ascii="Century" w:hAnsi="Century" w:hint="cs"/>
          <w:rtl/>
        </w:rPr>
        <w:t>.</w:t>
      </w:r>
    </w:p>
    <w:p w:rsidR="00862796" w:rsidRDefault="00862796" w:rsidP="00862796">
      <w:pPr>
        <w:pStyle w:val="Ruller41"/>
        <w:spacing w:before="240" w:after="240"/>
      </w:pPr>
    </w:p>
    <w:p w:rsidR="00476343" w:rsidRDefault="00476343" w:rsidP="00476343">
      <w:pPr>
        <w:pStyle w:val="Ruller41"/>
        <w:jc w:val="right"/>
        <w:rPr>
          <w:rtl/>
        </w:rPr>
      </w:pPr>
      <w:r>
        <w:rPr>
          <w:rFonts w:hint="cs"/>
          <w:rtl/>
        </w:rPr>
        <w:t>ש ו פ ט</w:t>
      </w:r>
    </w:p>
    <w:p w:rsidR="00476343" w:rsidRDefault="00476343" w:rsidP="00A51FAE">
      <w:pPr>
        <w:pStyle w:val="Ruller41"/>
        <w:rPr>
          <w:rtl/>
        </w:rPr>
      </w:pPr>
    </w:p>
    <w:p w:rsidR="00D40553" w:rsidRDefault="00D40553" w:rsidP="00A51FAE">
      <w:pPr>
        <w:pStyle w:val="Ruller41"/>
        <w:rPr>
          <w:rtl/>
        </w:rPr>
      </w:pPr>
    </w:p>
    <w:p w:rsidR="00476343" w:rsidRDefault="00476343" w:rsidP="00A51FAE">
      <w:pPr>
        <w:pStyle w:val="Ruller41"/>
        <w:rPr>
          <w:rtl/>
        </w:rPr>
      </w:pPr>
      <w:r>
        <w:rPr>
          <w:rtl/>
        </w:rPr>
        <w:tab/>
      </w:r>
      <w:r>
        <w:rPr>
          <w:rFonts w:hint="cs"/>
          <w:rtl/>
        </w:rPr>
        <w:t xml:space="preserve">הוחלט כאמור בפסק דינו של השופט </w:t>
      </w:r>
      <w:r w:rsidRPr="00476343">
        <w:rPr>
          <w:rFonts w:ascii="Century" w:hAnsi="Century" w:cs="Miriam" w:hint="cs"/>
          <w:b/>
          <w:spacing w:val="0"/>
          <w:szCs w:val="24"/>
          <w:rtl/>
        </w:rPr>
        <w:t>ד' מינץ</w:t>
      </w:r>
      <w:r>
        <w:rPr>
          <w:rFonts w:hint="cs"/>
          <w:rtl/>
        </w:rPr>
        <w:t>.</w:t>
      </w:r>
    </w:p>
    <w:p w:rsidR="00476343" w:rsidRDefault="00476343" w:rsidP="00A51FAE">
      <w:pPr>
        <w:pStyle w:val="Ruller41"/>
        <w:rPr>
          <w:rtl/>
        </w:rPr>
      </w:pPr>
    </w:p>
    <w:p w:rsidR="00696E34" w:rsidRDefault="00696E34" w:rsidP="00A51FAE">
      <w:pPr>
        <w:pStyle w:val="Ruller41"/>
        <w:rPr>
          <w:rtl/>
        </w:rPr>
      </w:pPr>
    </w:p>
    <w:p w:rsidR="00476343" w:rsidRDefault="00FE6357" w:rsidP="001B118C">
      <w:pPr>
        <w:pStyle w:val="Ruller41"/>
        <w:rPr>
          <w:rtl/>
        </w:rPr>
      </w:pPr>
      <w:r>
        <w:rPr>
          <w:rtl/>
        </w:rPr>
        <w:tab/>
        <w:t>נית</w:t>
      </w:r>
      <w:r>
        <w:rPr>
          <w:rFonts w:hint="cs"/>
          <w:rtl/>
        </w:rPr>
        <w:t>ן</w:t>
      </w:r>
      <w:r w:rsidR="001B118C">
        <w:rPr>
          <w:rtl/>
        </w:rPr>
        <w:t xml:space="preserve"> היום, </w:t>
      </w:r>
      <w:r w:rsidR="001B118C">
        <w:rPr>
          <w:rFonts w:hint="eastAsia"/>
          <w:rtl/>
        </w:rPr>
        <w:t>‏כ</w:t>
      </w:r>
      <w:r w:rsidR="001B118C">
        <w:rPr>
          <w:rtl/>
        </w:rPr>
        <w:t>"</w:t>
      </w:r>
      <w:r w:rsidR="001B118C">
        <w:rPr>
          <w:rFonts w:hint="cs"/>
          <w:rtl/>
        </w:rPr>
        <w:t>ז</w:t>
      </w:r>
      <w:r w:rsidR="001B118C">
        <w:rPr>
          <w:rtl/>
        </w:rPr>
        <w:t xml:space="preserve"> באדר א </w:t>
      </w:r>
      <w:proofErr w:type="spellStart"/>
      <w:r w:rsidR="001B118C">
        <w:rPr>
          <w:rtl/>
        </w:rPr>
        <w:t>התשפ"ד</w:t>
      </w:r>
      <w:proofErr w:type="spellEnd"/>
      <w:r w:rsidR="001B118C">
        <w:rPr>
          <w:rtl/>
        </w:rPr>
        <w:t xml:space="preserve"> (</w:t>
      </w:r>
      <w:r w:rsidR="001B118C">
        <w:rPr>
          <w:rFonts w:hint="eastAsia"/>
          <w:rtl/>
        </w:rPr>
        <w:t>‏</w:t>
      </w:r>
      <w:r w:rsidR="001B118C">
        <w:rPr>
          <w:rFonts w:hint="cs"/>
          <w:rtl/>
        </w:rPr>
        <w:t>7</w:t>
      </w:r>
      <w:r w:rsidR="001B118C">
        <w:rPr>
          <w:rtl/>
        </w:rPr>
        <w:t>.3.2024).</w:t>
      </w:r>
    </w:p>
    <w:p w:rsidR="001B118C" w:rsidRDefault="001B118C" w:rsidP="004B52F4">
      <w:pPr>
        <w:pStyle w:val="Ruller41"/>
        <w:rPr>
          <w:rtl/>
        </w:rPr>
      </w:pPr>
    </w:p>
    <w:p w:rsidR="00476343" w:rsidRDefault="00476343" w:rsidP="00A51FAE">
      <w:pPr>
        <w:pStyle w:val="Ruller41"/>
        <w:rPr>
          <w:rtl/>
        </w:rPr>
      </w:pPr>
    </w:p>
    <w:tbl>
      <w:tblPr>
        <w:bidiVisual/>
        <w:tblW w:w="8363" w:type="dxa"/>
        <w:tblLook w:val="01E0" w:firstRow="1" w:lastRow="1" w:firstColumn="1" w:lastColumn="1" w:noHBand="0" w:noVBand="0"/>
      </w:tblPr>
      <w:tblGrid>
        <w:gridCol w:w="2787"/>
        <w:gridCol w:w="2788"/>
        <w:gridCol w:w="2788"/>
      </w:tblGrid>
      <w:tr w:rsidR="001A0164" w:rsidTr="00D00B1D">
        <w:tc>
          <w:tcPr>
            <w:tcW w:w="2842" w:type="dxa"/>
            <w:shd w:val="clear" w:color="auto" w:fill="auto"/>
          </w:tcPr>
          <w:p w:rsidR="00016EF1" w:rsidRDefault="00E96470" w:rsidP="00A51FAE">
            <w:pPr>
              <w:pStyle w:val="Ruller41"/>
              <w:rPr>
                <w:rtl/>
              </w:rPr>
            </w:pPr>
            <w:r>
              <w:rPr>
                <w:rtl/>
              </w:rPr>
              <w:t>ש ו פ ט</w:t>
            </w:r>
          </w:p>
        </w:tc>
        <w:tc>
          <w:tcPr>
            <w:tcW w:w="2843" w:type="dxa"/>
            <w:shd w:val="clear" w:color="auto" w:fill="auto"/>
          </w:tcPr>
          <w:p w:rsidR="001A0164" w:rsidRDefault="00E96470" w:rsidP="00BA0B08">
            <w:pPr>
              <w:pStyle w:val="Ruller41"/>
              <w:jc w:val="center"/>
              <w:rPr>
                <w:rtl/>
              </w:rPr>
            </w:pPr>
            <w:r>
              <w:rPr>
                <w:rtl/>
              </w:rPr>
              <w:t>ש ו פ ט</w:t>
            </w:r>
          </w:p>
        </w:tc>
        <w:tc>
          <w:tcPr>
            <w:tcW w:w="2843" w:type="dxa"/>
            <w:shd w:val="clear" w:color="auto" w:fill="auto"/>
          </w:tcPr>
          <w:p w:rsidR="001A0164" w:rsidRDefault="00E96470" w:rsidP="00BA0B08">
            <w:pPr>
              <w:pStyle w:val="Ruller41"/>
              <w:jc w:val="center"/>
              <w:rPr>
                <w:rtl/>
              </w:rPr>
            </w:pPr>
            <w:r>
              <w:rPr>
                <w:rtl/>
              </w:rPr>
              <w:t>ש ו פ ט</w:t>
            </w:r>
          </w:p>
        </w:tc>
      </w:tr>
    </w:tbl>
    <w:p w:rsidR="00044953" w:rsidRDefault="00044953" w:rsidP="00A51FAE">
      <w:pPr>
        <w:pStyle w:val="Ruller41"/>
        <w:rPr>
          <w:rtl/>
        </w:rPr>
      </w:pPr>
    </w:p>
    <w:p w:rsidR="00916FF8" w:rsidRDefault="00916FF8">
      <w:pPr>
        <w:rPr>
          <w:szCs w:val="16"/>
          <w:rtl/>
        </w:rPr>
      </w:pPr>
      <w:r>
        <w:rPr>
          <w:szCs w:val="16"/>
          <w:rtl/>
        </w:rPr>
        <w:t>_________________</w:t>
      </w:r>
      <w:r w:rsidR="00A12E0F">
        <w:rPr>
          <w:rFonts w:hint="cs"/>
          <w:szCs w:val="16"/>
          <w:rtl/>
        </w:rPr>
        <w:t>________</w:t>
      </w:r>
    </w:p>
    <w:p w:rsidR="00916FF8" w:rsidRDefault="00591983" w:rsidP="00B009CC">
      <w:pPr>
        <w:pStyle w:val="Ruller38"/>
        <w:rPr>
          <w:rtl/>
        </w:rPr>
      </w:pPr>
      <w:r>
        <w:rPr>
          <w:sz w:val="16"/>
        </w:rPr>
        <w:t xml:space="preserve"> </w:t>
      </w:r>
      <w:r w:rsidR="00A12E0F">
        <w:rPr>
          <w:sz w:val="16"/>
        </w:rPr>
        <w:t xml:space="preserve">  </w:t>
      </w:r>
      <w:r w:rsidR="00E96470">
        <w:rPr>
          <w:sz w:val="16"/>
        </w:rPr>
        <w:t xml:space="preserve">23054740_N22.docx   </w:t>
      </w:r>
      <w:proofErr w:type="spellStart"/>
      <w:r w:rsidR="00E96470">
        <w:rPr>
          <w:sz w:val="16"/>
          <w:rtl/>
        </w:rPr>
        <w:t>רח</w:t>
      </w:r>
      <w:proofErr w:type="spellEnd"/>
    </w:p>
    <w:p w:rsidR="003F1F97" w:rsidRDefault="00591983" w:rsidP="00433434">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866D0F">
        <w:rPr>
          <w:rFonts w:hint="cs"/>
          <w:rtl/>
        </w:rPr>
        <w:t>, 3852*</w:t>
      </w:r>
      <w:r>
        <w:rPr>
          <w:rFonts w:hint="cs"/>
          <w:rtl/>
        </w:rPr>
        <w:t xml:space="preserve"> ; אתר אינטרנט,  </w:t>
      </w:r>
      <w:hyperlink r:id="rId8" w:history="1">
        <w:r w:rsidR="00FC0252" w:rsidRPr="00BB4C68">
          <w:rPr>
            <w:rStyle w:val="Hyperlink"/>
            <w:sz w:val="16"/>
          </w:rPr>
          <w:t>https://supreme.court.gov.il</w:t>
        </w:r>
      </w:hyperlink>
    </w:p>
    <w:sectPr w:rsidR="003F1F97" w:rsidSect="00433434">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6" w:h="16838" w:code="9"/>
      <w:pgMar w:top="1134" w:right="1797" w:bottom="1276"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12" w:rsidRDefault="007F7512">
      <w:r>
        <w:separator/>
      </w:r>
    </w:p>
  </w:endnote>
  <w:endnote w:type="continuationSeparator" w:id="0">
    <w:p w:rsidR="007F7512" w:rsidRDefault="007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3"/>
      <w:rPr>
        <w:rtl/>
      </w:rPr>
    </w:pPr>
  </w:p>
  <w:p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470" w:rsidRDefault="00E9647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4D" w:rsidRPr="00F959DB" w:rsidRDefault="00045B4D" w:rsidP="00914156">
    <w:pPr>
      <w:pStyle w:val="a3"/>
      <w:bidi w:val="0"/>
      <w:jc w:val="right"/>
      <w:rPr>
        <w:sz w:val="16"/>
        <w:szCs w:val="16"/>
      </w:rPr>
    </w:pPr>
    <w:bookmarkStart w:id="8" w:name="footer_line"/>
    <w:bookmarkEnd w:id="8"/>
  </w:p>
  <w:p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12" w:rsidRDefault="007F7512">
      <w:r>
        <w:separator/>
      </w:r>
    </w:p>
  </w:footnote>
  <w:footnote w:type="continuationSeparator" w:id="0">
    <w:p w:rsidR="007F7512" w:rsidRDefault="007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5"/>
      <w:rPr>
        <w:rtl/>
      </w:rPr>
    </w:pPr>
  </w:p>
  <w:p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2C2C96">
      <w:rPr>
        <w:rStyle w:val="a4"/>
        <w:noProof/>
        <w:rtl/>
      </w:rPr>
      <w:t>31</w:t>
    </w:r>
    <w:r>
      <w:rPr>
        <w:rStyle w:val="a4"/>
        <w:rtl/>
      </w:rPr>
      <w:fldChar w:fldCharType="end"/>
    </w:r>
  </w:p>
  <w:p w:rsidR="00377102" w:rsidRDefault="00377102">
    <w:pPr>
      <w:pStyle w:val="a5"/>
      <w:rPr>
        <w:rtl/>
      </w:rPr>
    </w:pPr>
  </w:p>
  <w:p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363" w:type="dxa"/>
      <w:tblLook w:val="0000" w:firstRow="0" w:lastRow="0" w:firstColumn="0" w:lastColumn="0" w:noHBand="0" w:noVBand="0"/>
    </w:tblPr>
    <w:tblGrid>
      <w:gridCol w:w="8363"/>
    </w:tblGrid>
    <w:tr w:rsidR="00045B4D" w:rsidTr="00EC23AC">
      <w:trPr>
        <w:trHeight w:val="342"/>
      </w:trPr>
      <w:tc>
        <w:tcPr>
          <w:tcW w:w="9828" w:type="dxa"/>
        </w:tcPr>
        <w:p w:rsidR="00377102" w:rsidRPr="002F7BB6" w:rsidRDefault="00EE3810" w:rsidP="00045B4D">
          <w:pPr>
            <w:pStyle w:val="Casenameintextbody"/>
            <w:jc w:val="center"/>
            <w:rPr>
              <w:u w:val="none"/>
              <w:rtl/>
            </w:rPr>
          </w:pPr>
          <w:r w:rsidRPr="002F7BB6">
            <w:rPr>
              <w:noProof/>
              <w:sz w:val="16"/>
              <w:szCs w:val="18"/>
              <w:u w:val="none"/>
              <w:rtl/>
            </w:rPr>
            <w:drawing>
              <wp:inline distT="0" distB="0" distL="0" distR="0">
                <wp:extent cx="464820" cy="449580"/>
                <wp:effectExtent l="0" t="0" r="0" b="762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rsidR="00045B4D" w:rsidRDefault="00045B4D" w:rsidP="00045B4D">
    <w:pPr>
      <w:pStyle w:val="a5"/>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2312"/>
    <w:multiLevelType w:val="hybridMultilevel"/>
    <w:tmpl w:val="E160C53C"/>
    <w:lvl w:ilvl="0" w:tplc="D650667C">
      <w:numFmt w:val="bullet"/>
      <w:lvlText w:val=""/>
      <w:lvlJc w:val="left"/>
      <w:pPr>
        <w:ind w:left="720" w:hanging="360"/>
      </w:pPr>
      <w:rPr>
        <w:rFonts w:ascii="Symbol" w:eastAsia="Times New Roman" w:hAnsi="Symbol" w:cs="FrankRuehl" w:hint="default"/>
      </w:rPr>
    </w:lvl>
    <w:lvl w:ilvl="1" w:tplc="2EEA1CBA" w:tentative="1">
      <w:start w:val="1"/>
      <w:numFmt w:val="bullet"/>
      <w:lvlText w:val="o"/>
      <w:lvlJc w:val="left"/>
      <w:pPr>
        <w:ind w:left="1440" w:hanging="360"/>
      </w:pPr>
      <w:rPr>
        <w:rFonts w:ascii="Courier New" w:hAnsi="Courier New" w:cs="Courier New" w:hint="default"/>
      </w:rPr>
    </w:lvl>
    <w:lvl w:ilvl="2" w:tplc="624692AE" w:tentative="1">
      <w:start w:val="1"/>
      <w:numFmt w:val="bullet"/>
      <w:lvlText w:val=""/>
      <w:lvlJc w:val="left"/>
      <w:pPr>
        <w:ind w:left="2160" w:hanging="360"/>
      </w:pPr>
      <w:rPr>
        <w:rFonts w:ascii="Wingdings" w:hAnsi="Wingdings" w:hint="default"/>
      </w:rPr>
    </w:lvl>
    <w:lvl w:ilvl="3" w:tplc="8B388858" w:tentative="1">
      <w:start w:val="1"/>
      <w:numFmt w:val="bullet"/>
      <w:lvlText w:val=""/>
      <w:lvlJc w:val="left"/>
      <w:pPr>
        <w:ind w:left="2880" w:hanging="360"/>
      </w:pPr>
      <w:rPr>
        <w:rFonts w:ascii="Symbol" w:hAnsi="Symbol" w:hint="default"/>
      </w:rPr>
    </w:lvl>
    <w:lvl w:ilvl="4" w:tplc="12C8C73A" w:tentative="1">
      <w:start w:val="1"/>
      <w:numFmt w:val="bullet"/>
      <w:lvlText w:val="o"/>
      <w:lvlJc w:val="left"/>
      <w:pPr>
        <w:ind w:left="3600" w:hanging="360"/>
      </w:pPr>
      <w:rPr>
        <w:rFonts w:ascii="Courier New" w:hAnsi="Courier New" w:cs="Courier New" w:hint="default"/>
      </w:rPr>
    </w:lvl>
    <w:lvl w:ilvl="5" w:tplc="77DEF900" w:tentative="1">
      <w:start w:val="1"/>
      <w:numFmt w:val="bullet"/>
      <w:lvlText w:val=""/>
      <w:lvlJc w:val="left"/>
      <w:pPr>
        <w:ind w:left="4320" w:hanging="360"/>
      </w:pPr>
      <w:rPr>
        <w:rFonts w:ascii="Wingdings" w:hAnsi="Wingdings" w:hint="default"/>
      </w:rPr>
    </w:lvl>
    <w:lvl w:ilvl="6" w:tplc="F77C04DE" w:tentative="1">
      <w:start w:val="1"/>
      <w:numFmt w:val="bullet"/>
      <w:lvlText w:val=""/>
      <w:lvlJc w:val="left"/>
      <w:pPr>
        <w:ind w:left="5040" w:hanging="360"/>
      </w:pPr>
      <w:rPr>
        <w:rFonts w:ascii="Symbol" w:hAnsi="Symbol" w:hint="default"/>
      </w:rPr>
    </w:lvl>
    <w:lvl w:ilvl="7" w:tplc="381C1244" w:tentative="1">
      <w:start w:val="1"/>
      <w:numFmt w:val="bullet"/>
      <w:lvlText w:val="o"/>
      <w:lvlJc w:val="left"/>
      <w:pPr>
        <w:ind w:left="5760" w:hanging="360"/>
      </w:pPr>
      <w:rPr>
        <w:rFonts w:ascii="Courier New" w:hAnsi="Courier New" w:cs="Courier New" w:hint="default"/>
      </w:rPr>
    </w:lvl>
    <w:lvl w:ilvl="8" w:tplc="3790F86E" w:tentative="1">
      <w:start w:val="1"/>
      <w:numFmt w:val="bullet"/>
      <w:lvlText w:val=""/>
      <w:lvlJc w:val="left"/>
      <w:pPr>
        <w:ind w:left="6480" w:hanging="360"/>
      </w:pPr>
      <w:rPr>
        <w:rFonts w:ascii="Wingdings" w:hAnsi="Wingdings" w:hint="default"/>
      </w:rPr>
    </w:lvl>
  </w:abstractNum>
  <w:abstractNum w:abstractNumId="11" w15:restartNumberingAfterBreak="0">
    <w:nsid w:val="04527F2B"/>
    <w:multiLevelType w:val="hybridMultilevel"/>
    <w:tmpl w:val="481E0802"/>
    <w:lvl w:ilvl="0" w:tplc="82B60280">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6001B"/>
    <w:multiLevelType w:val="hybridMultilevel"/>
    <w:tmpl w:val="C22495E8"/>
    <w:lvl w:ilvl="0" w:tplc="6CDEF480">
      <w:start w:val="1"/>
      <w:numFmt w:val="decimal"/>
      <w:pStyle w:val="Ruller4"/>
      <w:lvlText w:val="%1."/>
      <w:lvlJc w:val="left"/>
      <w:pPr>
        <w:tabs>
          <w:tab w:val="num" w:pos="907"/>
        </w:tabs>
        <w:ind w:left="0" w:firstLine="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54231E"/>
    <w:multiLevelType w:val="hybridMultilevel"/>
    <w:tmpl w:val="6DB89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70BA2"/>
    <w:multiLevelType w:val="hybridMultilevel"/>
    <w:tmpl w:val="F294C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3839E5"/>
    <w:multiLevelType w:val="hybridMultilevel"/>
    <w:tmpl w:val="370421FA"/>
    <w:lvl w:ilvl="0" w:tplc="7A6E323A">
      <w:start w:val="1"/>
      <w:numFmt w:val="hebrew1"/>
      <w:lvlText w:val="%1."/>
      <w:lvlJc w:val="left"/>
      <w:pPr>
        <w:ind w:left="1080" w:hanging="360"/>
      </w:pPr>
      <w:rPr>
        <w:rFonts w:ascii="Century" w:hAnsi="Century" w:hint="default"/>
        <w:sz w:val="28"/>
      </w:rPr>
    </w:lvl>
    <w:lvl w:ilvl="1" w:tplc="2F041ECA" w:tentative="1">
      <w:start w:val="1"/>
      <w:numFmt w:val="lowerLetter"/>
      <w:lvlText w:val="%2."/>
      <w:lvlJc w:val="left"/>
      <w:pPr>
        <w:ind w:left="1800" w:hanging="360"/>
      </w:pPr>
    </w:lvl>
    <w:lvl w:ilvl="2" w:tplc="7ADA8914" w:tentative="1">
      <w:start w:val="1"/>
      <w:numFmt w:val="lowerRoman"/>
      <w:lvlText w:val="%3."/>
      <w:lvlJc w:val="right"/>
      <w:pPr>
        <w:ind w:left="2520" w:hanging="180"/>
      </w:pPr>
    </w:lvl>
    <w:lvl w:ilvl="3" w:tplc="6D8ABDEE" w:tentative="1">
      <w:start w:val="1"/>
      <w:numFmt w:val="decimal"/>
      <w:lvlText w:val="%4."/>
      <w:lvlJc w:val="left"/>
      <w:pPr>
        <w:ind w:left="3240" w:hanging="360"/>
      </w:pPr>
    </w:lvl>
    <w:lvl w:ilvl="4" w:tplc="F5B0F41C" w:tentative="1">
      <w:start w:val="1"/>
      <w:numFmt w:val="lowerLetter"/>
      <w:lvlText w:val="%5."/>
      <w:lvlJc w:val="left"/>
      <w:pPr>
        <w:ind w:left="3960" w:hanging="360"/>
      </w:pPr>
    </w:lvl>
    <w:lvl w:ilvl="5" w:tplc="754A2B76" w:tentative="1">
      <w:start w:val="1"/>
      <w:numFmt w:val="lowerRoman"/>
      <w:lvlText w:val="%6."/>
      <w:lvlJc w:val="right"/>
      <w:pPr>
        <w:ind w:left="4680" w:hanging="180"/>
      </w:pPr>
    </w:lvl>
    <w:lvl w:ilvl="6" w:tplc="CB68E89C" w:tentative="1">
      <w:start w:val="1"/>
      <w:numFmt w:val="decimal"/>
      <w:lvlText w:val="%7."/>
      <w:lvlJc w:val="left"/>
      <w:pPr>
        <w:ind w:left="5400" w:hanging="360"/>
      </w:pPr>
    </w:lvl>
    <w:lvl w:ilvl="7" w:tplc="4880D6E8" w:tentative="1">
      <w:start w:val="1"/>
      <w:numFmt w:val="lowerLetter"/>
      <w:lvlText w:val="%8."/>
      <w:lvlJc w:val="left"/>
      <w:pPr>
        <w:ind w:left="6120" w:hanging="360"/>
      </w:pPr>
    </w:lvl>
    <w:lvl w:ilvl="8" w:tplc="1250EEE6" w:tentative="1">
      <w:start w:val="1"/>
      <w:numFmt w:val="lowerRoman"/>
      <w:lvlText w:val="%9."/>
      <w:lvlJc w:val="right"/>
      <w:pPr>
        <w:ind w:left="6840" w:hanging="180"/>
      </w:pPr>
    </w:lvl>
  </w:abstractNum>
  <w:abstractNum w:abstractNumId="16" w15:restartNumberingAfterBreak="0">
    <w:nsid w:val="25AA2844"/>
    <w:multiLevelType w:val="hybridMultilevel"/>
    <w:tmpl w:val="C674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47FB2"/>
    <w:multiLevelType w:val="hybridMultilevel"/>
    <w:tmpl w:val="DE306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03585"/>
    <w:multiLevelType w:val="hybridMultilevel"/>
    <w:tmpl w:val="E42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E3DD7"/>
    <w:multiLevelType w:val="hybridMultilevel"/>
    <w:tmpl w:val="452AC916"/>
    <w:lvl w:ilvl="0" w:tplc="FD681D1E">
      <w:numFmt w:val="bullet"/>
      <w:lvlText w:val="-"/>
      <w:lvlJc w:val="left"/>
      <w:pPr>
        <w:ind w:left="720" w:hanging="360"/>
      </w:pPr>
      <w:rPr>
        <w:rFonts w:ascii="FrankRuehl" w:eastAsia="Times New Roman" w:hAnsi="FrankRuehl" w:cs="FrankRuehl" w:hint="default"/>
        <w:sz w:val="28"/>
      </w:rPr>
    </w:lvl>
    <w:lvl w:ilvl="1" w:tplc="4CCA54EC" w:tentative="1">
      <w:start w:val="1"/>
      <w:numFmt w:val="bullet"/>
      <w:lvlText w:val="o"/>
      <w:lvlJc w:val="left"/>
      <w:pPr>
        <w:ind w:left="1440" w:hanging="360"/>
      </w:pPr>
      <w:rPr>
        <w:rFonts w:ascii="Courier New" w:hAnsi="Courier New" w:cs="Courier New" w:hint="default"/>
      </w:rPr>
    </w:lvl>
    <w:lvl w:ilvl="2" w:tplc="71B6E840" w:tentative="1">
      <w:start w:val="1"/>
      <w:numFmt w:val="bullet"/>
      <w:lvlText w:val=""/>
      <w:lvlJc w:val="left"/>
      <w:pPr>
        <w:ind w:left="2160" w:hanging="360"/>
      </w:pPr>
      <w:rPr>
        <w:rFonts w:ascii="Wingdings" w:hAnsi="Wingdings" w:hint="default"/>
      </w:rPr>
    </w:lvl>
    <w:lvl w:ilvl="3" w:tplc="9200AD8C" w:tentative="1">
      <w:start w:val="1"/>
      <w:numFmt w:val="bullet"/>
      <w:lvlText w:val=""/>
      <w:lvlJc w:val="left"/>
      <w:pPr>
        <w:ind w:left="2880" w:hanging="360"/>
      </w:pPr>
      <w:rPr>
        <w:rFonts w:ascii="Symbol" w:hAnsi="Symbol" w:hint="default"/>
      </w:rPr>
    </w:lvl>
    <w:lvl w:ilvl="4" w:tplc="88382CF6" w:tentative="1">
      <w:start w:val="1"/>
      <w:numFmt w:val="bullet"/>
      <w:lvlText w:val="o"/>
      <w:lvlJc w:val="left"/>
      <w:pPr>
        <w:ind w:left="3600" w:hanging="360"/>
      </w:pPr>
      <w:rPr>
        <w:rFonts w:ascii="Courier New" w:hAnsi="Courier New" w:cs="Courier New" w:hint="default"/>
      </w:rPr>
    </w:lvl>
    <w:lvl w:ilvl="5" w:tplc="46CA0FFC" w:tentative="1">
      <w:start w:val="1"/>
      <w:numFmt w:val="bullet"/>
      <w:lvlText w:val=""/>
      <w:lvlJc w:val="left"/>
      <w:pPr>
        <w:ind w:left="4320" w:hanging="360"/>
      </w:pPr>
      <w:rPr>
        <w:rFonts w:ascii="Wingdings" w:hAnsi="Wingdings" w:hint="default"/>
      </w:rPr>
    </w:lvl>
    <w:lvl w:ilvl="6" w:tplc="9A981F38" w:tentative="1">
      <w:start w:val="1"/>
      <w:numFmt w:val="bullet"/>
      <w:lvlText w:val=""/>
      <w:lvlJc w:val="left"/>
      <w:pPr>
        <w:ind w:left="5040" w:hanging="360"/>
      </w:pPr>
      <w:rPr>
        <w:rFonts w:ascii="Symbol" w:hAnsi="Symbol" w:hint="default"/>
      </w:rPr>
    </w:lvl>
    <w:lvl w:ilvl="7" w:tplc="F6E67BE2" w:tentative="1">
      <w:start w:val="1"/>
      <w:numFmt w:val="bullet"/>
      <w:lvlText w:val="o"/>
      <w:lvlJc w:val="left"/>
      <w:pPr>
        <w:ind w:left="5760" w:hanging="360"/>
      </w:pPr>
      <w:rPr>
        <w:rFonts w:ascii="Courier New" w:hAnsi="Courier New" w:cs="Courier New" w:hint="default"/>
      </w:rPr>
    </w:lvl>
    <w:lvl w:ilvl="8" w:tplc="09D20E62" w:tentative="1">
      <w:start w:val="1"/>
      <w:numFmt w:val="bullet"/>
      <w:lvlText w:val=""/>
      <w:lvlJc w:val="left"/>
      <w:pPr>
        <w:ind w:left="6480" w:hanging="360"/>
      </w:pPr>
      <w:rPr>
        <w:rFonts w:ascii="Wingdings" w:hAnsi="Wingdings" w:hint="default"/>
      </w:rPr>
    </w:lvl>
  </w:abstractNum>
  <w:abstractNum w:abstractNumId="20" w15:restartNumberingAfterBreak="0">
    <w:nsid w:val="3C764BB2"/>
    <w:multiLevelType w:val="hybridMultilevel"/>
    <w:tmpl w:val="F5E629B0"/>
    <w:lvl w:ilvl="0" w:tplc="F9F28496">
      <w:numFmt w:val="bullet"/>
      <w:lvlText w:val=""/>
      <w:lvlJc w:val="left"/>
      <w:pPr>
        <w:ind w:left="720" w:hanging="360"/>
      </w:pPr>
      <w:rPr>
        <w:rFonts w:ascii="Symbol" w:eastAsia="Times New Roman" w:hAnsi="Symbol" w:cs="FrankRueh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66F0E"/>
    <w:multiLevelType w:val="hybridMultilevel"/>
    <w:tmpl w:val="06CAE54E"/>
    <w:lvl w:ilvl="0" w:tplc="C8B2FA6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0535F"/>
    <w:multiLevelType w:val="hybridMultilevel"/>
    <w:tmpl w:val="86782142"/>
    <w:lvl w:ilvl="0" w:tplc="7EE825CC">
      <w:start w:val="14"/>
      <w:numFmt w:val="bullet"/>
      <w:lvlText w:val=""/>
      <w:lvlJc w:val="left"/>
      <w:pPr>
        <w:ind w:left="720" w:hanging="360"/>
      </w:pPr>
      <w:rPr>
        <w:rFonts w:ascii="Symbol" w:eastAsia="Times New Roman" w:hAnsi="Symbol" w:cs="FrankRueh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70B62"/>
    <w:multiLevelType w:val="hybridMultilevel"/>
    <w:tmpl w:val="ADA8711E"/>
    <w:lvl w:ilvl="0" w:tplc="DBB0A036">
      <w:start w:val="1"/>
      <w:numFmt w:val="hebrew1"/>
      <w:pStyle w:val="Ruller40"/>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3B2414"/>
    <w:multiLevelType w:val="hybridMultilevel"/>
    <w:tmpl w:val="42E4AB0E"/>
    <w:lvl w:ilvl="0" w:tplc="10D2902A">
      <w:start w:val="14"/>
      <w:numFmt w:val="bullet"/>
      <w:lvlText w:val="-"/>
      <w:lvlJc w:val="left"/>
      <w:pPr>
        <w:ind w:left="720" w:hanging="360"/>
      </w:pPr>
      <w:rPr>
        <w:rFonts w:ascii="FrankRuehl" w:eastAsia="Times New Roman" w:hAnsi="FrankRuehl" w:cs="FrankRueh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B1CBB"/>
    <w:multiLevelType w:val="hybridMultilevel"/>
    <w:tmpl w:val="67C0B36A"/>
    <w:lvl w:ilvl="0" w:tplc="5CFC9D80">
      <w:start w:val="1"/>
      <w:numFmt w:val="decimal"/>
      <w:lvlText w:val="%1."/>
      <w:lvlJc w:val="left"/>
      <w:pPr>
        <w:ind w:left="720" w:hanging="360"/>
      </w:pPr>
      <w:rPr>
        <w:strike w:val="0"/>
        <w:dstrike w:val="0"/>
        <w:sz w:val="28"/>
        <w:szCs w:val="28"/>
        <w:u w:val="none"/>
        <w:effect w:val="none"/>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7B49BD"/>
    <w:multiLevelType w:val="hybridMultilevel"/>
    <w:tmpl w:val="CAA6BDAE"/>
    <w:lvl w:ilvl="0" w:tplc="4D32CA3A">
      <w:start w:val="1"/>
      <w:numFmt w:val="hebrew1"/>
      <w:lvlText w:val="%1."/>
      <w:lvlJc w:val="left"/>
      <w:pPr>
        <w:ind w:left="1080" w:hanging="360"/>
      </w:pPr>
      <w:rPr>
        <w:rFonts w:ascii="Century" w:hAnsi="Century" w:hint="default"/>
        <w:sz w:val="28"/>
      </w:rPr>
    </w:lvl>
    <w:lvl w:ilvl="1" w:tplc="8E000976" w:tentative="1">
      <w:start w:val="1"/>
      <w:numFmt w:val="lowerLetter"/>
      <w:lvlText w:val="%2."/>
      <w:lvlJc w:val="left"/>
      <w:pPr>
        <w:ind w:left="1800" w:hanging="360"/>
      </w:pPr>
    </w:lvl>
    <w:lvl w:ilvl="2" w:tplc="6A50FDE6" w:tentative="1">
      <w:start w:val="1"/>
      <w:numFmt w:val="lowerRoman"/>
      <w:lvlText w:val="%3."/>
      <w:lvlJc w:val="right"/>
      <w:pPr>
        <w:ind w:left="2520" w:hanging="180"/>
      </w:pPr>
    </w:lvl>
    <w:lvl w:ilvl="3" w:tplc="E78697C4" w:tentative="1">
      <w:start w:val="1"/>
      <w:numFmt w:val="decimal"/>
      <w:lvlText w:val="%4."/>
      <w:lvlJc w:val="left"/>
      <w:pPr>
        <w:ind w:left="3240" w:hanging="360"/>
      </w:pPr>
    </w:lvl>
    <w:lvl w:ilvl="4" w:tplc="AA5AB7D8" w:tentative="1">
      <w:start w:val="1"/>
      <w:numFmt w:val="lowerLetter"/>
      <w:lvlText w:val="%5."/>
      <w:lvlJc w:val="left"/>
      <w:pPr>
        <w:ind w:left="3960" w:hanging="360"/>
      </w:pPr>
    </w:lvl>
    <w:lvl w:ilvl="5" w:tplc="7F86A598" w:tentative="1">
      <w:start w:val="1"/>
      <w:numFmt w:val="lowerRoman"/>
      <w:lvlText w:val="%6."/>
      <w:lvlJc w:val="right"/>
      <w:pPr>
        <w:ind w:left="4680" w:hanging="180"/>
      </w:pPr>
    </w:lvl>
    <w:lvl w:ilvl="6" w:tplc="4246010E" w:tentative="1">
      <w:start w:val="1"/>
      <w:numFmt w:val="decimal"/>
      <w:lvlText w:val="%7."/>
      <w:lvlJc w:val="left"/>
      <w:pPr>
        <w:ind w:left="5400" w:hanging="360"/>
      </w:pPr>
    </w:lvl>
    <w:lvl w:ilvl="7" w:tplc="BAA025BC" w:tentative="1">
      <w:start w:val="1"/>
      <w:numFmt w:val="lowerLetter"/>
      <w:lvlText w:val="%8."/>
      <w:lvlJc w:val="left"/>
      <w:pPr>
        <w:ind w:left="6120" w:hanging="360"/>
      </w:pPr>
    </w:lvl>
    <w:lvl w:ilvl="8" w:tplc="F89ABD96" w:tentative="1">
      <w:start w:val="1"/>
      <w:numFmt w:val="lowerRoman"/>
      <w:lvlText w:val="%9."/>
      <w:lvlJc w:val="right"/>
      <w:pPr>
        <w:ind w:left="6840" w:hanging="180"/>
      </w:pPr>
    </w:lvl>
  </w:abstractNum>
  <w:abstractNum w:abstractNumId="27" w15:restartNumberingAfterBreak="0">
    <w:nsid w:val="6BE15DE8"/>
    <w:multiLevelType w:val="hybridMultilevel"/>
    <w:tmpl w:val="C8AA9A86"/>
    <w:lvl w:ilvl="0" w:tplc="7D98B1C8">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46640"/>
    <w:multiLevelType w:val="hybridMultilevel"/>
    <w:tmpl w:val="95CC1820"/>
    <w:lvl w:ilvl="0" w:tplc="51EA063A">
      <w:start w:val="1"/>
      <w:numFmt w:val="decimal"/>
      <w:lvlText w:val="%1."/>
      <w:lvlJc w:val="left"/>
      <w:pPr>
        <w:ind w:left="1440" w:hanging="360"/>
      </w:pPr>
      <w:rPr>
        <w:rFonts w:hint="default"/>
        <w:sz w:val="28"/>
      </w:rPr>
    </w:lvl>
    <w:lvl w:ilvl="1" w:tplc="1FD8029C" w:tentative="1">
      <w:start w:val="1"/>
      <w:numFmt w:val="lowerLetter"/>
      <w:lvlText w:val="%2."/>
      <w:lvlJc w:val="left"/>
      <w:pPr>
        <w:ind w:left="2160" w:hanging="360"/>
      </w:pPr>
    </w:lvl>
    <w:lvl w:ilvl="2" w:tplc="5EF8BFBE" w:tentative="1">
      <w:start w:val="1"/>
      <w:numFmt w:val="lowerRoman"/>
      <w:lvlText w:val="%3."/>
      <w:lvlJc w:val="right"/>
      <w:pPr>
        <w:ind w:left="2880" w:hanging="180"/>
      </w:pPr>
    </w:lvl>
    <w:lvl w:ilvl="3" w:tplc="5040F690" w:tentative="1">
      <w:start w:val="1"/>
      <w:numFmt w:val="decimal"/>
      <w:lvlText w:val="%4."/>
      <w:lvlJc w:val="left"/>
      <w:pPr>
        <w:ind w:left="3600" w:hanging="360"/>
      </w:pPr>
    </w:lvl>
    <w:lvl w:ilvl="4" w:tplc="A48E6A8C" w:tentative="1">
      <w:start w:val="1"/>
      <w:numFmt w:val="lowerLetter"/>
      <w:lvlText w:val="%5."/>
      <w:lvlJc w:val="left"/>
      <w:pPr>
        <w:ind w:left="4320" w:hanging="360"/>
      </w:pPr>
    </w:lvl>
    <w:lvl w:ilvl="5" w:tplc="F0383E98" w:tentative="1">
      <w:start w:val="1"/>
      <w:numFmt w:val="lowerRoman"/>
      <w:lvlText w:val="%6."/>
      <w:lvlJc w:val="right"/>
      <w:pPr>
        <w:ind w:left="5040" w:hanging="180"/>
      </w:pPr>
    </w:lvl>
    <w:lvl w:ilvl="6" w:tplc="C4324A90" w:tentative="1">
      <w:start w:val="1"/>
      <w:numFmt w:val="decimal"/>
      <w:lvlText w:val="%7."/>
      <w:lvlJc w:val="left"/>
      <w:pPr>
        <w:ind w:left="5760" w:hanging="360"/>
      </w:pPr>
    </w:lvl>
    <w:lvl w:ilvl="7" w:tplc="E4E840FC" w:tentative="1">
      <w:start w:val="1"/>
      <w:numFmt w:val="lowerLetter"/>
      <w:lvlText w:val="%8."/>
      <w:lvlJc w:val="left"/>
      <w:pPr>
        <w:ind w:left="6480" w:hanging="360"/>
      </w:pPr>
    </w:lvl>
    <w:lvl w:ilvl="8" w:tplc="8F0097C2" w:tentative="1">
      <w:start w:val="1"/>
      <w:numFmt w:val="lowerRoman"/>
      <w:lvlText w:val="%9."/>
      <w:lvlJc w:val="right"/>
      <w:pPr>
        <w:ind w:left="7200" w:hanging="180"/>
      </w:pPr>
    </w:lvl>
  </w:abstractNum>
  <w:abstractNum w:abstractNumId="29" w15:restartNumberingAfterBreak="0">
    <w:nsid w:val="7CE65A74"/>
    <w:multiLevelType w:val="hybridMultilevel"/>
    <w:tmpl w:val="87462FDE"/>
    <w:lvl w:ilvl="0" w:tplc="26B43F2C">
      <w:start w:val="1"/>
      <w:numFmt w:val="hebrew1"/>
      <w:lvlText w:val="%1."/>
      <w:lvlJc w:val="left"/>
      <w:pPr>
        <w:ind w:left="1080" w:hanging="360"/>
      </w:pPr>
      <w:rPr>
        <w:rFonts w:hint="default"/>
        <w:sz w:val="28"/>
      </w:rPr>
    </w:lvl>
    <w:lvl w:ilvl="1" w:tplc="FE4C30E6" w:tentative="1">
      <w:start w:val="1"/>
      <w:numFmt w:val="lowerLetter"/>
      <w:lvlText w:val="%2."/>
      <w:lvlJc w:val="left"/>
      <w:pPr>
        <w:ind w:left="1800" w:hanging="360"/>
      </w:pPr>
    </w:lvl>
    <w:lvl w:ilvl="2" w:tplc="45EA8172" w:tentative="1">
      <w:start w:val="1"/>
      <w:numFmt w:val="lowerRoman"/>
      <w:lvlText w:val="%3."/>
      <w:lvlJc w:val="right"/>
      <w:pPr>
        <w:ind w:left="2520" w:hanging="180"/>
      </w:pPr>
    </w:lvl>
    <w:lvl w:ilvl="3" w:tplc="7F229B80" w:tentative="1">
      <w:start w:val="1"/>
      <w:numFmt w:val="decimal"/>
      <w:lvlText w:val="%4."/>
      <w:lvlJc w:val="left"/>
      <w:pPr>
        <w:ind w:left="3240" w:hanging="360"/>
      </w:pPr>
    </w:lvl>
    <w:lvl w:ilvl="4" w:tplc="F17E2E1A" w:tentative="1">
      <w:start w:val="1"/>
      <w:numFmt w:val="lowerLetter"/>
      <w:lvlText w:val="%5."/>
      <w:lvlJc w:val="left"/>
      <w:pPr>
        <w:ind w:left="3960" w:hanging="360"/>
      </w:pPr>
    </w:lvl>
    <w:lvl w:ilvl="5" w:tplc="E03051BA" w:tentative="1">
      <w:start w:val="1"/>
      <w:numFmt w:val="lowerRoman"/>
      <w:lvlText w:val="%6."/>
      <w:lvlJc w:val="right"/>
      <w:pPr>
        <w:ind w:left="4680" w:hanging="180"/>
      </w:pPr>
    </w:lvl>
    <w:lvl w:ilvl="6" w:tplc="A82E9512" w:tentative="1">
      <w:start w:val="1"/>
      <w:numFmt w:val="decimal"/>
      <w:lvlText w:val="%7."/>
      <w:lvlJc w:val="left"/>
      <w:pPr>
        <w:ind w:left="5400" w:hanging="360"/>
      </w:pPr>
    </w:lvl>
    <w:lvl w:ilvl="7" w:tplc="7FB49790" w:tentative="1">
      <w:start w:val="1"/>
      <w:numFmt w:val="lowerLetter"/>
      <w:lvlText w:val="%8."/>
      <w:lvlJc w:val="left"/>
      <w:pPr>
        <w:ind w:left="6120" w:hanging="360"/>
      </w:pPr>
    </w:lvl>
    <w:lvl w:ilvl="8" w:tplc="1DB05928" w:tentative="1">
      <w:start w:val="1"/>
      <w:numFmt w:val="lowerRoman"/>
      <w:lvlText w:val="%9."/>
      <w:lvlJc w:val="right"/>
      <w:pPr>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23"/>
  </w:num>
  <w:num w:numId="13">
    <w:abstractNumId w:val="16"/>
  </w:num>
  <w:num w:numId="14">
    <w:abstractNumId w:val="10"/>
  </w:num>
  <w:num w:numId="15">
    <w:abstractNumId w:val="19"/>
  </w:num>
  <w:num w:numId="16">
    <w:abstractNumId w:val="29"/>
  </w:num>
  <w:num w:numId="17">
    <w:abstractNumId w:val="28"/>
  </w:num>
  <w:num w:numId="18">
    <w:abstractNumId w:val="26"/>
  </w:num>
  <w:num w:numId="19">
    <w:abstractNumId w:val="15"/>
  </w:num>
  <w:num w:numId="20">
    <w:abstractNumId w:val="17"/>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20"/>
  </w:num>
  <w:num w:numId="26">
    <w:abstractNumId w:val="13"/>
  </w:num>
  <w:num w:numId="27">
    <w:abstractNumId w:val="18"/>
  </w:num>
  <w:num w:numId="28">
    <w:abstractNumId w:val="11"/>
  </w:num>
  <w:num w:numId="29">
    <w:abstractNumId w:val="21"/>
  </w:num>
  <w:num w:numId="30">
    <w:abstractNumId w:val="14"/>
  </w:num>
  <w:num w:numId="31">
    <w:abstractNumId w:val="12"/>
    <w:lvlOverride w:ilvl="0">
      <w:startOverride w:val="1"/>
    </w:lvlOverride>
  </w:num>
  <w:num w:numId="3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16EF1"/>
    <w:rsid w:val="000251FE"/>
    <w:rsid w:val="00032036"/>
    <w:rsid w:val="00036227"/>
    <w:rsid w:val="00044953"/>
    <w:rsid w:val="00045B4D"/>
    <w:rsid w:val="00065E0C"/>
    <w:rsid w:val="000725F5"/>
    <w:rsid w:val="00072AD2"/>
    <w:rsid w:val="000B1478"/>
    <w:rsid w:val="000C4690"/>
    <w:rsid w:val="000D25C4"/>
    <w:rsid w:val="00112136"/>
    <w:rsid w:val="00134A67"/>
    <w:rsid w:val="00186B8A"/>
    <w:rsid w:val="001A0164"/>
    <w:rsid w:val="001B118C"/>
    <w:rsid w:val="00200D6B"/>
    <w:rsid w:val="00265F6E"/>
    <w:rsid w:val="00282F22"/>
    <w:rsid w:val="002876BF"/>
    <w:rsid w:val="002A4A7A"/>
    <w:rsid w:val="002A4BF3"/>
    <w:rsid w:val="002C2C96"/>
    <w:rsid w:val="002F7BB6"/>
    <w:rsid w:val="003144CE"/>
    <w:rsid w:val="00326C0D"/>
    <w:rsid w:val="003448B2"/>
    <w:rsid w:val="00361DB2"/>
    <w:rsid w:val="0037622E"/>
    <w:rsid w:val="00377102"/>
    <w:rsid w:val="0039709B"/>
    <w:rsid w:val="003D453C"/>
    <w:rsid w:val="003D72DA"/>
    <w:rsid w:val="003F1F97"/>
    <w:rsid w:val="0041048F"/>
    <w:rsid w:val="00433434"/>
    <w:rsid w:val="00437D59"/>
    <w:rsid w:val="004610A4"/>
    <w:rsid w:val="00476343"/>
    <w:rsid w:val="004B29FF"/>
    <w:rsid w:val="004B52F4"/>
    <w:rsid w:val="004C7868"/>
    <w:rsid w:val="00503A3E"/>
    <w:rsid w:val="005234C0"/>
    <w:rsid w:val="00527F02"/>
    <w:rsid w:val="005803E2"/>
    <w:rsid w:val="0058440A"/>
    <w:rsid w:val="00591983"/>
    <w:rsid w:val="00624A42"/>
    <w:rsid w:val="0065522F"/>
    <w:rsid w:val="00696E34"/>
    <w:rsid w:val="006A30F7"/>
    <w:rsid w:val="006C42AD"/>
    <w:rsid w:val="00725345"/>
    <w:rsid w:val="00741CC0"/>
    <w:rsid w:val="007B512F"/>
    <w:rsid w:val="007F7512"/>
    <w:rsid w:val="00810894"/>
    <w:rsid w:val="008143AB"/>
    <w:rsid w:val="0083345F"/>
    <w:rsid w:val="00836667"/>
    <w:rsid w:val="00862796"/>
    <w:rsid w:val="00866D0F"/>
    <w:rsid w:val="008A79B6"/>
    <w:rsid w:val="008C2F11"/>
    <w:rsid w:val="008C4670"/>
    <w:rsid w:val="008D78B9"/>
    <w:rsid w:val="008E3F85"/>
    <w:rsid w:val="009051E8"/>
    <w:rsid w:val="00914156"/>
    <w:rsid w:val="00916FF8"/>
    <w:rsid w:val="00922093"/>
    <w:rsid w:val="00930C85"/>
    <w:rsid w:val="009B38DA"/>
    <w:rsid w:val="009F2F53"/>
    <w:rsid w:val="009F4187"/>
    <w:rsid w:val="00A12E0F"/>
    <w:rsid w:val="00A51FAE"/>
    <w:rsid w:val="00A80845"/>
    <w:rsid w:val="00AB69F7"/>
    <w:rsid w:val="00AD097B"/>
    <w:rsid w:val="00AD64B9"/>
    <w:rsid w:val="00AE022B"/>
    <w:rsid w:val="00B009CC"/>
    <w:rsid w:val="00B0782A"/>
    <w:rsid w:val="00B62B8C"/>
    <w:rsid w:val="00B63343"/>
    <w:rsid w:val="00B87FF7"/>
    <w:rsid w:val="00BA0B08"/>
    <w:rsid w:val="00BC0E82"/>
    <w:rsid w:val="00BD40F9"/>
    <w:rsid w:val="00C41C86"/>
    <w:rsid w:val="00C63A6C"/>
    <w:rsid w:val="00CA13AF"/>
    <w:rsid w:val="00CA1444"/>
    <w:rsid w:val="00CB1590"/>
    <w:rsid w:val="00CB7600"/>
    <w:rsid w:val="00CC0E9D"/>
    <w:rsid w:val="00CC3639"/>
    <w:rsid w:val="00D00B1D"/>
    <w:rsid w:val="00D00CB7"/>
    <w:rsid w:val="00D25F16"/>
    <w:rsid w:val="00D40553"/>
    <w:rsid w:val="00E1278B"/>
    <w:rsid w:val="00E21CA9"/>
    <w:rsid w:val="00E31063"/>
    <w:rsid w:val="00E36FE9"/>
    <w:rsid w:val="00E73E98"/>
    <w:rsid w:val="00E75223"/>
    <w:rsid w:val="00E90D72"/>
    <w:rsid w:val="00E96470"/>
    <w:rsid w:val="00EA0BE1"/>
    <w:rsid w:val="00EC23AC"/>
    <w:rsid w:val="00EC2992"/>
    <w:rsid w:val="00ED46A4"/>
    <w:rsid w:val="00ED6FD9"/>
    <w:rsid w:val="00EE3810"/>
    <w:rsid w:val="00F63C3B"/>
    <w:rsid w:val="00F959DB"/>
    <w:rsid w:val="00FC0252"/>
    <w:rsid w:val="00FE63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D4EAC"/>
  <w15:chartTrackingRefBased/>
  <w15:docId w15:val="{85141E5F-150F-4F3C-AA9F-05B10273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1">
    <w:name w:val="Ruller4"/>
    <w:basedOn w:val="a"/>
    <w:link w:val="Ruller42"/>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link w:val="Ruller50"/>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1"/>
    <w:next w:val="Ruller41"/>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link w:val="a6"/>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7">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8">
    <w:name w:val="annotation reference"/>
    <w:basedOn w:val="a0"/>
    <w:rsid w:val="00D00B1D"/>
    <w:rPr>
      <w:sz w:val="16"/>
      <w:szCs w:val="16"/>
    </w:rPr>
  </w:style>
  <w:style w:type="paragraph" w:styleId="a9">
    <w:name w:val="annotation text"/>
    <w:basedOn w:val="a"/>
    <w:link w:val="aa"/>
    <w:rsid w:val="00D00B1D"/>
    <w:rPr>
      <w:szCs w:val="20"/>
    </w:rPr>
  </w:style>
  <w:style w:type="character" w:customStyle="1" w:styleId="aa">
    <w:name w:val="טקסט הערה תו"/>
    <w:basedOn w:val="a0"/>
    <w:link w:val="a9"/>
    <w:rsid w:val="00D00B1D"/>
    <w:rPr>
      <w:rFonts w:cs="David"/>
    </w:rPr>
  </w:style>
  <w:style w:type="paragraph" w:styleId="ab">
    <w:name w:val="annotation subject"/>
    <w:basedOn w:val="a9"/>
    <w:next w:val="a9"/>
    <w:link w:val="ac"/>
    <w:rsid w:val="00D00B1D"/>
    <w:rPr>
      <w:b/>
      <w:bCs/>
    </w:rPr>
  </w:style>
  <w:style w:type="character" w:customStyle="1" w:styleId="ac">
    <w:name w:val="נושא הערה תו"/>
    <w:basedOn w:val="aa"/>
    <w:link w:val="ab"/>
    <w:rsid w:val="00D00B1D"/>
    <w:rPr>
      <w:rFonts w:cs="David"/>
      <w:b/>
      <w:bCs/>
    </w:rPr>
  </w:style>
  <w:style w:type="paragraph" w:styleId="ad">
    <w:name w:val="Balloon Text"/>
    <w:basedOn w:val="a"/>
    <w:link w:val="ae"/>
    <w:rsid w:val="00D00B1D"/>
    <w:rPr>
      <w:rFonts w:ascii="Tahoma" w:hAnsi="Tahoma" w:cs="Tahoma"/>
      <w:sz w:val="18"/>
      <w:szCs w:val="18"/>
    </w:rPr>
  </w:style>
  <w:style w:type="character" w:customStyle="1" w:styleId="ae">
    <w:name w:val="טקסט בלונים תו"/>
    <w:basedOn w:val="a0"/>
    <w:link w:val="ad"/>
    <w:rsid w:val="00D00B1D"/>
    <w:rPr>
      <w:rFonts w:ascii="Tahoma" w:hAnsi="Tahoma" w:cs="Tahoma"/>
      <w:sz w:val="18"/>
      <w:szCs w:val="18"/>
    </w:rPr>
  </w:style>
  <w:style w:type="paragraph" w:customStyle="1" w:styleId="ruller31">
    <w:name w:val="ruller 3"/>
    <w:basedOn w:val="a"/>
    <w:rsid w:val="00282F22"/>
    <w:pPr>
      <w:overflowPunct/>
      <w:textAlignment w:val="auto"/>
    </w:pPr>
    <w:rPr>
      <w:sz w:val="22"/>
    </w:rPr>
  </w:style>
  <w:style w:type="paragraph" w:customStyle="1" w:styleId="Ruller4">
    <w:name w:val="Ruller 4 ממוספר"/>
    <w:basedOn w:val="Ruller41"/>
    <w:next w:val="Ruller41"/>
    <w:link w:val="Ruller43"/>
    <w:rsid w:val="00282F22"/>
    <w:pPr>
      <w:numPr>
        <w:numId w:val="11"/>
      </w:numPr>
    </w:pPr>
    <w:rPr>
      <w:rFonts w:ascii="Garamond" w:hAnsi="Garamond"/>
      <w:sz w:val="24"/>
    </w:rPr>
  </w:style>
  <w:style w:type="paragraph" w:customStyle="1" w:styleId="Ruller40">
    <w:name w:val="Ruller4 אלפביתי"/>
    <w:basedOn w:val="Ruller41"/>
    <w:next w:val="Ruller41"/>
    <w:rsid w:val="00282F22"/>
    <w:pPr>
      <w:numPr>
        <w:numId w:val="12"/>
      </w:numPr>
    </w:pPr>
  </w:style>
  <w:style w:type="paragraph" w:customStyle="1" w:styleId="af">
    <w:name w:val="a"/>
    <w:basedOn w:val="a"/>
    <w:rsid w:val="00282F22"/>
    <w:pPr>
      <w:overflowPunct/>
      <w:autoSpaceDE/>
      <w:autoSpaceDN/>
      <w:bidi w:val="0"/>
      <w:adjustRightInd/>
      <w:spacing w:before="100" w:beforeAutospacing="1" w:after="100" w:afterAutospacing="1"/>
      <w:textAlignment w:val="auto"/>
    </w:pPr>
    <w:rPr>
      <w:rFonts w:cs="Times New Roman"/>
      <w:sz w:val="24"/>
    </w:rPr>
  </w:style>
  <w:style w:type="paragraph" w:customStyle="1" w:styleId="ruller400">
    <w:name w:val="ruller40"/>
    <w:basedOn w:val="a"/>
    <w:rsid w:val="00282F22"/>
    <w:pPr>
      <w:overflowPunct/>
      <w:autoSpaceDE/>
      <w:autoSpaceDN/>
      <w:bidi w:val="0"/>
      <w:adjustRightInd/>
      <w:spacing w:before="100" w:beforeAutospacing="1" w:after="100" w:afterAutospacing="1"/>
      <w:textAlignment w:val="auto"/>
    </w:pPr>
    <w:rPr>
      <w:rFonts w:cs="Times New Roman"/>
      <w:sz w:val="24"/>
    </w:rPr>
  </w:style>
  <w:style w:type="paragraph" w:customStyle="1" w:styleId="ruller44">
    <w:name w:val="ruller4"/>
    <w:basedOn w:val="a"/>
    <w:rsid w:val="00282F22"/>
    <w:pPr>
      <w:overflowPunct/>
      <w:autoSpaceDE/>
      <w:autoSpaceDN/>
      <w:bidi w:val="0"/>
      <w:adjustRightInd/>
      <w:spacing w:before="100" w:beforeAutospacing="1" w:after="100" w:afterAutospacing="1"/>
      <w:textAlignment w:val="auto"/>
    </w:pPr>
    <w:rPr>
      <w:rFonts w:cs="Times New Roman"/>
      <w:sz w:val="24"/>
    </w:rPr>
  </w:style>
  <w:style w:type="paragraph" w:customStyle="1" w:styleId="ruller51">
    <w:name w:val="ruller5"/>
    <w:basedOn w:val="a"/>
    <w:rsid w:val="00282F22"/>
    <w:pPr>
      <w:overflowPunct/>
      <w:autoSpaceDE/>
      <w:autoSpaceDN/>
      <w:bidi w:val="0"/>
      <w:adjustRightInd/>
      <w:spacing w:before="100" w:beforeAutospacing="1" w:after="100" w:afterAutospacing="1"/>
      <w:textAlignment w:val="auto"/>
    </w:pPr>
    <w:rPr>
      <w:rFonts w:cs="Times New Roman"/>
      <w:sz w:val="24"/>
    </w:rPr>
  </w:style>
  <w:style w:type="paragraph" w:styleId="af0">
    <w:name w:val="footnote text"/>
    <w:basedOn w:val="a"/>
    <w:link w:val="af1"/>
    <w:uiPriority w:val="99"/>
    <w:unhideWhenUsed/>
    <w:rsid w:val="00433434"/>
    <w:pPr>
      <w:overflowPunct/>
      <w:autoSpaceDE/>
      <w:autoSpaceDN/>
      <w:adjustRightInd/>
      <w:textAlignment w:val="auto"/>
    </w:pPr>
    <w:rPr>
      <w:rFonts w:eastAsiaTheme="minorHAnsi"/>
      <w:szCs w:val="20"/>
    </w:rPr>
  </w:style>
  <w:style w:type="character" w:customStyle="1" w:styleId="af1">
    <w:name w:val="טקסט הערת שוליים תו"/>
    <w:basedOn w:val="a0"/>
    <w:link w:val="af0"/>
    <w:uiPriority w:val="99"/>
    <w:rsid w:val="00433434"/>
    <w:rPr>
      <w:rFonts w:eastAsiaTheme="minorHAnsi" w:cs="David"/>
    </w:rPr>
  </w:style>
  <w:style w:type="character" w:styleId="af2">
    <w:name w:val="footnote reference"/>
    <w:basedOn w:val="a0"/>
    <w:uiPriority w:val="99"/>
    <w:unhideWhenUsed/>
    <w:rsid w:val="00433434"/>
    <w:rPr>
      <w:vertAlign w:val="superscript"/>
    </w:rPr>
  </w:style>
  <w:style w:type="character" w:customStyle="1" w:styleId="Ruller42">
    <w:name w:val="Ruller4 תו"/>
    <w:link w:val="Ruller41"/>
    <w:locked/>
    <w:rsid w:val="00433434"/>
    <w:rPr>
      <w:rFonts w:ascii="Arial TUR" w:hAnsi="Arial TUR" w:cs="FrankRuehl"/>
      <w:spacing w:val="10"/>
      <w:sz w:val="22"/>
      <w:szCs w:val="28"/>
    </w:rPr>
  </w:style>
  <w:style w:type="character" w:customStyle="1" w:styleId="Ruller50">
    <w:name w:val="Ruller5 תו"/>
    <w:link w:val="Ruller5"/>
    <w:locked/>
    <w:rsid w:val="00433434"/>
    <w:rPr>
      <w:rFonts w:ascii="Arial TUR" w:hAnsi="Arial TUR" w:cs="FrankRuehl"/>
      <w:spacing w:val="10"/>
      <w:sz w:val="22"/>
      <w:szCs w:val="28"/>
    </w:rPr>
  </w:style>
  <w:style w:type="character" w:customStyle="1" w:styleId="a6">
    <w:name w:val="כותרת עליונה תו"/>
    <w:link w:val="a5"/>
    <w:rsid w:val="00433434"/>
    <w:rPr>
      <w:rFonts w:cs="David"/>
      <w:szCs w:val="24"/>
    </w:rPr>
  </w:style>
  <w:style w:type="character" w:customStyle="1" w:styleId="Ruller43">
    <w:name w:val="Ruller 4 ממוספר תו"/>
    <w:link w:val="Ruller4"/>
    <w:locked/>
    <w:rsid w:val="00433434"/>
    <w:rPr>
      <w:rFonts w:ascii="Garamond" w:hAnsi="Garamond" w:cs="FrankRuehl"/>
      <w:spacing w:val="10"/>
      <w:sz w:val="24"/>
      <w:szCs w:val="28"/>
    </w:rPr>
  </w:style>
  <w:style w:type="paragraph" w:styleId="af3">
    <w:name w:val="Revision"/>
    <w:hidden/>
    <w:uiPriority w:val="99"/>
    <w:semiHidden/>
    <w:rsid w:val="00433434"/>
    <w:rPr>
      <w:rFonts w:ascii="Century" w:hAnsi="Century" w:cs="FrankRuehl"/>
      <w:spacing w:val="10"/>
      <w:szCs w:val="28"/>
    </w:rPr>
  </w:style>
  <w:style w:type="character" w:customStyle="1" w:styleId="term1">
    <w:name w:val="term_1"/>
    <w:basedOn w:val="a0"/>
    <w:rsid w:val="0043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upreme.court.gov.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17088</Words>
  <Characters>83445</Characters>
  <Application>Microsoft Office Word</Application>
  <DocSecurity>0</DocSecurity>
  <Lines>695</Lines>
  <Paragraphs>200</Paragraphs>
  <ScaleCrop>false</ScaleCrop>
  <HeadingPairs>
    <vt:vector size="2" baseType="variant">
      <vt:variant>
        <vt:lpstr>שם</vt:lpstr>
      </vt:variant>
      <vt:variant>
        <vt:i4>1</vt:i4>
      </vt:variant>
    </vt:vector>
  </HeadingPairs>
  <TitlesOfParts>
    <vt:vector size="1" baseType="lpstr">
      <vt:lpstr>פסק-דין בתיק בג"ץ  5474/23</vt:lpstr>
    </vt:vector>
  </TitlesOfParts>
  <Company/>
  <LinksUpToDate>false</LinksUpToDate>
  <CharactersWithSpaces>100333</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
  <cp:lastPrinted>2024-03-07T08:32:02Z</cp:lastPrinted>
  <dcterms:created xsi:type="dcterms:W3CDTF">2024-03-07T08:32:02Z</dcterms:created>
  <dcterms:modified xsi:type="dcterms:W3CDTF">2024-03-07T08:32:02Z</dcterms:modified>
</cp:coreProperties>
</file>